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7"/>
          <w:szCs w:val="17"/>
        </w:rPr>
        <w:jc w:val="left"/>
        <w:spacing w:before="7" w:line="160" w:lineRule="exact"/>
      </w:pPr>
      <w:r>
        <w:pict>
          <v:shape style="position:absolute;margin-left:9.12e-06pt;margin-top:0.0004pt;width:611.9pt;height:790.82pt;mso-position-horizontal-relative:page;mso-position-vertical-relative:page;z-index:-776" type="#_x0000_t75">
            <v:imagedata o:title="" r:id="rId4"/>
          </v:shape>
        </w:pict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LINEAMIENTOS   PARA   LA   POSTULACIÓN,   REGISTRO,   ASIGNACIÓN   Y</w:t>
      </w:r>
      <w:r>
        <w:rPr>
          <w:rFonts w:ascii="Arial" w:cs="Arial" w:eastAsia="Arial" w:hAnsi="Arial"/>
          <w:b/>
          <w:sz w:val="24"/>
          <w:szCs w:val="24"/>
        </w:rPr>
        <w:t> DIFUSIÓN   DE   LA   CANDIDATURA   A   LA   DIPUTACIÓN   MIGRANTE   O</w:t>
      </w:r>
      <w:r>
        <w:rPr>
          <w:rFonts w:ascii="Arial" w:cs="Arial" w:eastAsia="Arial" w:hAnsi="Arial"/>
          <w:b/>
          <w:sz w:val="24"/>
          <w:szCs w:val="24"/>
        </w:rPr>
        <w:t> BINACIONAL    ELECTA    POR    EL    PRINCIPIO    DE    REPRESENTACIÓN</w:t>
      </w:r>
      <w:r>
        <w:rPr>
          <w:rFonts w:ascii="Arial" w:cs="Arial" w:eastAsia="Arial" w:hAnsi="Arial"/>
          <w:b/>
          <w:sz w:val="24"/>
          <w:szCs w:val="24"/>
        </w:rPr>
        <w:t> PROPORCIONAL AL CONGRESO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right"/>
        <w:spacing w:line="260" w:lineRule="exact"/>
        <w:ind w:right="120"/>
      </w:pPr>
      <w:r>
        <w:rPr>
          <w:rFonts w:ascii="Arial" w:cs="Arial" w:eastAsia="Arial" w:hAnsi="Arial"/>
          <w:b/>
          <w:position w:val="-1"/>
          <w:sz w:val="24"/>
          <w:szCs w:val="24"/>
        </w:rPr>
        <w:t>Enero 2024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type w:val="continuous"/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="100" w:lineRule="exact"/>
      </w:pPr>
      <w:r>
        <w:pict>
          <v:shape style="position:absolute;margin-left:9.12e-06pt;margin-top:0.0004pt;width:611.9pt;height:790.82pt;mso-position-horizontal-relative:page;mso-position-vertical-relative:page;z-index:-775" type="#_x0000_t75">
            <v:imagedata o:title="" r:id="rId5"/>
          </v:shape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6867"/>
      </w:pPr>
      <w:r>
        <w:rPr>
          <w:rFonts w:ascii="Arial" w:cs="Arial" w:eastAsia="Arial" w:hAnsi="Arial"/>
          <w:b/>
          <w:sz w:val="24"/>
          <w:szCs w:val="24"/>
        </w:rPr>
        <w:t>Fundamento legal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Los presentes Lineamientos se expiden de conformidad con lo establecido en los</w:t>
      </w:r>
      <w:r>
        <w:rPr>
          <w:rFonts w:ascii="Arial" w:cs="Arial" w:eastAsia="Arial" w:hAnsi="Arial"/>
          <w:sz w:val="24"/>
          <w:szCs w:val="24"/>
        </w:rPr>
        <w:t> artículos 35, fracciones  I y  II, y 36, fracción III de  la  Constitución Política de los</w:t>
      </w:r>
      <w:r>
        <w:rPr>
          <w:rFonts w:ascii="Arial" w:cs="Arial" w:eastAsia="Arial" w:hAnsi="Arial"/>
          <w:sz w:val="24"/>
          <w:szCs w:val="24"/>
        </w:rPr>
        <w:t> Estados Unidos Mexicanos; artículos 329 y 330 de la Ley General de Instituciones</w:t>
      </w:r>
      <w:r>
        <w:rPr>
          <w:rFonts w:ascii="Arial" w:cs="Arial" w:eastAsia="Arial" w:hAnsi="Arial"/>
          <w:sz w:val="24"/>
          <w:szCs w:val="24"/>
        </w:rPr>
        <w:t> y  Procedimientos  Electorales;  artículos  23,  fracción  I,  y  24  fracción  X  de  la</w:t>
      </w:r>
      <w:r>
        <w:rPr>
          <w:rFonts w:ascii="Arial" w:cs="Arial" w:eastAsia="Arial" w:hAnsi="Arial"/>
          <w:sz w:val="24"/>
          <w:szCs w:val="24"/>
        </w:rPr>
        <w:t> Constitución Política del Estado Libre y Soberano de Oaxaca; artículo 38 fracciones</w:t>
      </w:r>
      <w:r>
        <w:rPr>
          <w:rFonts w:ascii="Arial" w:cs="Arial" w:eastAsia="Arial" w:hAnsi="Arial"/>
          <w:sz w:val="24"/>
          <w:szCs w:val="24"/>
        </w:rPr>
        <w:t> XXI, XXII, XXVI, LVIII, así como artículo 173, numeral 5, fracción IV de la Ley de</w:t>
      </w:r>
      <w:r>
        <w:rPr>
          <w:rFonts w:ascii="Arial" w:cs="Arial" w:eastAsia="Arial" w:hAnsi="Arial"/>
          <w:sz w:val="24"/>
          <w:szCs w:val="24"/>
        </w:rPr>
        <w:t> Instituciones y Procedimientos Electorales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855"/>
      </w:pPr>
      <w:r>
        <w:rPr>
          <w:rFonts w:ascii="Arial" w:cs="Arial" w:eastAsia="Arial" w:hAnsi="Arial"/>
          <w:position w:val="-1"/>
          <w:sz w:val="24"/>
          <w:szCs w:val="24"/>
        </w:rPr>
        <w:t>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2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74" type="#_x0000_t75">
            <v:imagedata o:title="" r:id="rId6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02" w:right="81"/>
      </w:pPr>
      <w:r>
        <w:rPr>
          <w:rFonts w:ascii="Arial" w:cs="Arial" w:eastAsia="Arial" w:hAnsi="Arial"/>
          <w:b/>
          <w:sz w:val="24"/>
          <w:szCs w:val="24"/>
        </w:rPr>
        <w:t>LINEAMIENTOS   PARA   LA   POSTULACIÓN,   REGISTRO,   ASIGNACIÓN   Y</w:t>
      </w:r>
      <w:r>
        <w:rPr>
          <w:rFonts w:ascii="Arial" w:cs="Arial" w:eastAsia="Arial" w:hAnsi="Arial"/>
          <w:b/>
          <w:sz w:val="24"/>
          <w:szCs w:val="24"/>
        </w:rPr>
        <w:t> DIFUSIÓN   DE   LA   CANDIDATURA   A   LA   DIPUTACIÓN   MIGRANTE   O</w:t>
      </w:r>
      <w:r>
        <w:rPr>
          <w:rFonts w:ascii="Arial" w:cs="Arial" w:eastAsia="Arial" w:hAnsi="Arial"/>
          <w:b/>
          <w:sz w:val="24"/>
          <w:szCs w:val="24"/>
        </w:rPr>
        <w:t> BINACIONAL    ELECTA    POR    EL    PRINCIPIO    DE    REPRESENTACIÓN</w:t>
      </w:r>
      <w:r>
        <w:rPr>
          <w:rFonts w:ascii="Arial" w:cs="Arial" w:eastAsia="Arial" w:hAnsi="Arial"/>
          <w:b/>
          <w:sz w:val="24"/>
          <w:szCs w:val="24"/>
        </w:rPr>
        <w:t> PROPORCIONAL AL CONGRESO DEL ESTADO DE OAXACA.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75" w:lineRule="auto"/>
        <w:ind w:left="3072" w:right="3091"/>
      </w:pPr>
      <w:r>
        <w:rPr>
          <w:rFonts w:ascii="Arial" w:cs="Arial" w:eastAsia="Arial" w:hAnsi="Arial"/>
          <w:b/>
          <w:sz w:val="24"/>
          <w:szCs w:val="24"/>
        </w:rPr>
        <w:t>CAPÍTULO I</w:t>
      </w:r>
      <w:r>
        <w:rPr>
          <w:rFonts w:ascii="Arial" w:cs="Arial" w:eastAsia="Arial" w:hAnsi="Arial"/>
          <w:b/>
          <w:sz w:val="24"/>
          <w:szCs w:val="24"/>
        </w:rPr>
        <w:t> 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Los  presentes  Lineamientos  son  de  orden  público,  de  observancia  general  y</w:t>
      </w:r>
      <w:r>
        <w:rPr>
          <w:rFonts w:ascii="Arial" w:cs="Arial" w:eastAsia="Arial" w:hAnsi="Arial"/>
          <w:sz w:val="24"/>
          <w:szCs w:val="24"/>
        </w:rPr>
        <w:t> obligatoria para el Instituto Estatal Electoral y de Participación Ciudadana del Estado</w:t>
      </w:r>
      <w:r>
        <w:rPr>
          <w:rFonts w:ascii="Arial" w:cs="Arial" w:eastAsia="Arial" w:hAnsi="Arial"/>
          <w:sz w:val="24"/>
          <w:szCs w:val="24"/>
        </w:rPr>
        <w:t> de  Oaxaca,  el  Consejo  General,  los  partidos  políticos  nacionales  y  locales  con</w:t>
      </w:r>
      <w:r>
        <w:rPr>
          <w:rFonts w:ascii="Arial" w:cs="Arial" w:eastAsia="Arial" w:hAnsi="Arial"/>
          <w:sz w:val="24"/>
          <w:szCs w:val="24"/>
        </w:rPr>
        <w:t> registro en el estado de Oaxaca, sus representaciones, así como para las personas</w:t>
      </w:r>
      <w:r>
        <w:rPr>
          <w:rFonts w:ascii="Arial" w:cs="Arial" w:eastAsia="Arial" w:hAnsi="Arial"/>
          <w:sz w:val="24"/>
          <w:szCs w:val="24"/>
        </w:rPr>
        <w:t> que aspiren a una candidatura a la Diputación Migrante o Binacional.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Lo anterior en los términos que establece la Constitución Política de los Estados</w:t>
      </w:r>
      <w:r>
        <w:rPr>
          <w:rFonts w:ascii="Arial" w:cs="Arial" w:eastAsia="Arial" w:hAnsi="Arial"/>
          <w:sz w:val="24"/>
          <w:szCs w:val="24"/>
        </w:rPr>
        <w:t> Unidos Mexicanos; la Ley General de Instituciones y Procedimientos Electorales; el</w:t>
      </w:r>
      <w:r>
        <w:rPr>
          <w:rFonts w:ascii="Arial" w:cs="Arial" w:eastAsia="Arial" w:hAnsi="Arial"/>
          <w:sz w:val="24"/>
          <w:szCs w:val="24"/>
        </w:rPr>
        <w:t> Reglamento de Elecciones del Instituto Nacional Electoral; la Ley de Migración, Ley</w:t>
      </w:r>
      <w:r>
        <w:rPr>
          <w:rFonts w:ascii="Arial" w:cs="Arial" w:eastAsia="Arial" w:hAnsi="Arial"/>
          <w:sz w:val="24"/>
          <w:szCs w:val="24"/>
        </w:rPr>
        <w:t> de Nacionalidad, la Constitución Política del Estado Libre y Soberano de Oaxaca, la</w:t>
      </w:r>
      <w:r>
        <w:rPr>
          <w:rFonts w:ascii="Arial" w:cs="Arial" w:eastAsia="Arial" w:hAnsi="Arial"/>
          <w:sz w:val="24"/>
          <w:szCs w:val="24"/>
        </w:rPr>
        <w:t> Ley de Instituciones y Procedimientos Electorales del Estado de Oaxaca, Ley del</w:t>
      </w:r>
      <w:r>
        <w:rPr>
          <w:rFonts w:ascii="Arial" w:cs="Arial" w:eastAsia="Arial" w:hAnsi="Arial"/>
          <w:sz w:val="24"/>
          <w:szCs w:val="24"/>
        </w:rPr>
        <w:t> Sistema  de  Medios  de  Impugnación  en  Materia  Electoral  y  de  Participación</w:t>
      </w:r>
      <w:r>
        <w:rPr>
          <w:rFonts w:ascii="Arial" w:cs="Arial" w:eastAsia="Arial" w:hAnsi="Arial"/>
          <w:sz w:val="24"/>
          <w:szCs w:val="24"/>
        </w:rPr>
        <w:t> Ciudadana para el Estado de Oaxaca y demás disposiciones relativas que apruebe</w:t>
      </w:r>
      <w:r>
        <w:rPr>
          <w:rFonts w:ascii="Arial" w:cs="Arial" w:eastAsia="Arial" w:hAnsi="Arial"/>
          <w:sz w:val="24"/>
          <w:szCs w:val="24"/>
        </w:rPr>
        <w:t> el Consejo General.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Los presentes Lineamientos tienen por objeto regular la postulación, el registro , la</w:t>
      </w:r>
      <w:r>
        <w:rPr>
          <w:rFonts w:ascii="Arial" w:cs="Arial" w:eastAsia="Arial" w:hAnsi="Arial"/>
          <w:sz w:val="24"/>
          <w:szCs w:val="24"/>
        </w:rPr>
        <w:t> asignación y difusión de la candidatura migrante o binacional en la lista estatal por</w:t>
      </w:r>
      <w:r>
        <w:rPr>
          <w:rFonts w:ascii="Arial" w:cs="Arial" w:eastAsia="Arial" w:hAnsi="Arial"/>
          <w:sz w:val="24"/>
          <w:szCs w:val="24"/>
        </w:rPr>
        <w:t> el  principio  de  representación  proporcional  que  deberán  presentar  los  partidos</w:t>
      </w:r>
      <w:r>
        <w:rPr>
          <w:rFonts w:ascii="Arial" w:cs="Arial" w:eastAsia="Arial" w:hAnsi="Arial"/>
          <w:sz w:val="24"/>
          <w:szCs w:val="24"/>
        </w:rPr>
        <w:t> políticos en los Procesos Electorales Ordinarios.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Para lo no previsto en los presentes Lineamientos, se aplicará, en forma supletoria,</w:t>
      </w:r>
      <w:r>
        <w:rPr>
          <w:rFonts w:ascii="Arial" w:cs="Arial" w:eastAsia="Arial" w:hAnsi="Arial"/>
          <w:sz w:val="24"/>
          <w:szCs w:val="24"/>
        </w:rPr>
        <w:t> la Ley General de Instituciones y Procedimientos Electorales, la Ley de Instituciones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4"/>
      </w:pPr>
      <w:r>
        <w:rPr>
          <w:rFonts w:ascii="Arial" w:cs="Arial" w:eastAsia="Arial" w:hAnsi="Arial"/>
          <w:position w:val="-1"/>
          <w:sz w:val="24"/>
          <w:szCs w:val="24"/>
        </w:rPr>
        <w:t>y Procedimientos Electorales del Estado de Oaxaca, y la demás normativa aplicable.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3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pict>
          <v:shape style="position:absolute;margin-left:9.12e-06pt;margin-top:0.0004pt;width:611.9pt;height:790.82pt;mso-position-horizontal-relative:page;mso-position-vertical-relative:page;z-index:-773" type="#_x0000_t75">
            <v:imagedata o:title="" r:id="rId7"/>
          </v:shape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Se   entenderán   en   el   cuerpo   de   los   presentes   lineamientos   las   siguientes</w:t>
      </w:r>
      <w:r>
        <w:rPr>
          <w:rFonts w:ascii="Arial" w:cs="Arial" w:eastAsia="Arial" w:hAnsi="Arial"/>
          <w:sz w:val="24"/>
          <w:szCs w:val="24"/>
        </w:rPr>
        <w:t> abreviaturas: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4"/>
      </w:pPr>
      <w:r>
        <w:rPr>
          <w:rFonts w:ascii="Arial" w:cs="Arial" w:eastAsia="Arial" w:hAnsi="Arial"/>
          <w:sz w:val="24"/>
          <w:szCs w:val="24"/>
        </w:rPr>
        <w:t>a)       Consejo General: el Consejo General del Instituto Electoral y de Participación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6467"/>
      </w:pPr>
      <w:r>
        <w:rPr>
          <w:rFonts w:ascii="Arial" w:cs="Arial" w:eastAsia="Arial" w:hAnsi="Arial"/>
          <w:sz w:val="24"/>
          <w:szCs w:val="24"/>
        </w:rPr>
        <w:t>Ciudadana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b)       Consejeras  y  Consejeros  Electorales:  las  Consejeras  y  los  Consejeros</w:t>
      </w:r>
      <w:r>
        <w:rPr>
          <w:rFonts w:ascii="Arial" w:cs="Arial" w:eastAsia="Arial" w:hAnsi="Arial"/>
          <w:sz w:val="24"/>
          <w:szCs w:val="24"/>
        </w:rPr>
        <w:t> Electorales  integrantes  del  Consejo  General  del  Instituto  Estatal  Electoral  y  de</w:t>
      </w:r>
      <w:r>
        <w:rPr>
          <w:rFonts w:ascii="Arial" w:cs="Arial" w:eastAsia="Arial" w:hAnsi="Arial"/>
          <w:sz w:val="24"/>
          <w:szCs w:val="24"/>
        </w:rPr>
        <w:t> Participación Ciudadana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02" w:right="84"/>
      </w:pPr>
      <w:r>
        <w:rPr>
          <w:rFonts w:ascii="Arial" w:cs="Arial" w:eastAsia="Arial" w:hAnsi="Arial"/>
          <w:sz w:val="24"/>
          <w:szCs w:val="24"/>
        </w:rPr>
        <w:t>c)        CPAPREO:   La   Comisión   Permanente   para   la   Atención   a   Personas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2256"/>
      </w:pPr>
      <w:r>
        <w:rPr>
          <w:rFonts w:ascii="Arial" w:cs="Arial" w:eastAsia="Arial" w:hAnsi="Arial"/>
          <w:sz w:val="24"/>
          <w:szCs w:val="24"/>
        </w:rPr>
        <w:t>Residentes en el Extranjero Originarias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053"/>
      </w:pPr>
      <w:r>
        <w:rPr>
          <w:rFonts w:ascii="Arial" w:cs="Arial" w:eastAsia="Arial" w:hAnsi="Arial"/>
          <w:sz w:val="24"/>
          <w:szCs w:val="24"/>
        </w:rPr>
        <w:t>d)       CPEUM: la Constitución Política de los Estados Unidos Mexicanos;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83"/>
      </w:pPr>
      <w:r>
        <w:rPr>
          <w:rFonts w:ascii="Arial" w:cs="Arial" w:eastAsia="Arial" w:hAnsi="Arial"/>
          <w:sz w:val="24"/>
          <w:szCs w:val="24"/>
        </w:rPr>
        <w:t>e)       Constitución Local: la Constitución Política del Estado Libre y Soberano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8028"/>
      </w:pPr>
      <w:r>
        <w:rPr>
          <w:rFonts w:ascii="Arial" w:cs="Arial" w:eastAsia="Arial" w:hAnsi="Arial"/>
          <w:sz w:val="24"/>
          <w:szCs w:val="24"/>
        </w:rPr>
        <w:t>Oaxaca;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84"/>
      </w:pPr>
      <w:r>
        <w:rPr>
          <w:rFonts w:ascii="Arial" w:cs="Arial" w:eastAsia="Arial" w:hAnsi="Arial"/>
          <w:sz w:val="24"/>
          <w:szCs w:val="24"/>
        </w:rPr>
        <w:t>f)        DEECyPC:   Dirección   Ejecutiva   de   Educación   Cívica   y   Participación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7691"/>
      </w:pPr>
      <w:r>
        <w:rPr>
          <w:rFonts w:ascii="Arial" w:cs="Arial" w:eastAsia="Arial" w:hAnsi="Arial"/>
          <w:sz w:val="24"/>
          <w:szCs w:val="24"/>
        </w:rPr>
        <w:t>Ciudadana;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542"/>
      </w:pPr>
      <w:r>
        <w:rPr>
          <w:rFonts w:ascii="Arial" w:cs="Arial" w:eastAsia="Arial" w:hAnsi="Arial"/>
          <w:sz w:val="24"/>
          <w:szCs w:val="24"/>
        </w:rPr>
        <w:t>g)       DEOyCE: Dirección Ejecutiva de Organización y Capacitación Electoral;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79"/>
      </w:pPr>
      <w:r>
        <w:rPr>
          <w:rFonts w:ascii="Arial" w:cs="Arial" w:eastAsia="Arial" w:hAnsi="Arial"/>
          <w:sz w:val="24"/>
          <w:szCs w:val="24"/>
        </w:rPr>
        <w:t>h)       DEPPPyCI:   Dirección   Ejecutiva   de   Partidos   Políticos,   Prerrogativas  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5931"/>
      </w:pPr>
      <w:r>
        <w:rPr>
          <w:rFonts w:ascii="Arial" w:cs="Arial" w:eastAsia="Arial" w:hAnsi="Arial"/>
          <w:sz w:val="24"/>
          <w:szCs w:val="24"/>
        </w:rPr>
        <w:t>Candidatos Independientes;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4499"/>
      </w:pPr>
      <w:r>
        <w:rPr>
          <w:rFonts w:ascii="Arial" w:cs="Arial" w:eastAsia="Arial" w:hAnsi="Arial"/>
          <w:sz w:val="24"/>
          <w:szCs w:val="24"/>
        </w:rPr>
        <w:t>i)         INE: El Instituto Nacional Electoral;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84"/>
      </w:pPr>
      <w:r>
        <w:rPr>
          <w:rFonts w:ascii="Arial" w:cs="Arial" w:eastAsia="Arial" w:hAnsi="Arial"/>
          <w:sz w:val="24"/>
          <w:szCs w:val="24"/>
        </w:rPr>
        <w:t>j)         IEEPCO:  El  Instituto  Estatal  Electoral  y  de  Participación  Ciudadana  del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6880"/>
      </w:pPr>
      <w:r>
        <w:rPr>
          <w:rFonts w:ascii="Arial" w:cs="Arial" w:eastAsia="Arial" w:hAnsi="Arial"/>
          <w:sz w:val="24"/>
          <w:szCs w:val="24"/>
        </w:rPr>
        <w:t>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849"/>
      </w:pPr>
      <w:r>
        <w:rPr>
          <w:rFonts w:ascii="Arial" w:cs="Arial" w:eastAsia="Arial" w:hAnsi="Arial"/>
          <w:sz w:val="24"/>
          <w:szCs w:val="24"/>
        </w:rPr>
        <w:t>k)        LGIPE: la Ley General de Instituciones y Procedimientos Electorales;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3560"/>
      </w:pPr>
      <w:r>
        <w:rPr>
          <w:rFonts w:ascii="Arial" w:cs="Arial" w:eastAsia="Arial" w:hAnsi="Arial"/>
          <w:sz w:val="24"/>
          <w:szCs w:val="24"/>
        </w:rPr>
        <w:t>l)         LGPP: la Ley General de Partidos Políticos;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87"/>
      </w:pPr>
      <w:r>
        <w:rPr>
          <w:rFonts w:ascii="Arial" w:cs="Arial" w:eastAsia="Arial" w:hAnsi="Arial"/>
          <w:sz w:val="24"/>
          <w:szCs w:val="24"/>
        </w:rPr>
        <w:t>m)      LIPEEO:  Ley de  Instituciones  y  Procedimientos  Electorales  del  Estado 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8028"/>
      </w:pPr>
      <w:r>
        <w:rPr>
          <w:rFonts w:ascii="Arial" w:cs="Arial" w:eastAsia="Arial" w:hAnsi="Arial"/>
          <w:sz w:val="24"/>
          <w:szCs w:val="24"/>
        </w:rPr>
        <w:t>Oaxaca;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4360"/>
      </w:pPr>
      <w:r>
        <w:rPr>
          <w:rFonts w:ascii="Arial" w:cs="Arial" w:eastAsia="Arial" w:hAnsi="Arial"/>
          <w:sz w:val="24"/>
          <w:szCs w:val="24"/>
        </w:rPr>
        <w:t>n)       Ley de Migración: Ley de Migración;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3667"/>
      </w:pPr>
      <w:r>
        <w:rPr>
          <w:rFonts w:ascii="Arial" w:cs="Arial" w:eastAsia="Arial" w:hAnsi="Arial"/>
          <w:sz w:val="24"/>
          <w:szCs w:val="24"/>
        </w:rPr>
        <w:t>o)       Ley de Nacionalidad: Ley de Nacionalidad;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p)       Unidad Técnica: Unidad Técnica para la Atención de Personas Residentes</w:t>
      </w:r>
      <w:r>
        <w:rPr>
          <w:rFonts w:ascii="Arial" w:cs="Arial" w:eastAsia="Arial" w:hAnsi="Arial"/>
          <w:sz w:val="24"/>
          <w:szCs w:val="24"/>
        </w:rPr>
        <w:t> en el Extranjero Originarias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02" w:right="2903"/>
      </w:pPr>
      <w:r>
        <w:rPr>
          <w:rFonts w:ascii="Arial" w:cs="Arial" w:eastAsia="Arial" w:hAnsi="Arial"/>
          <w:sz w:val="24"/>
          <w:szCs w:val="24"/>
        </w:rPr>
        <w:t>q)       Red de Candidatas: Red Nacional de Candidatas.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0" w:line="320" w:lineRule="exact"/>
        <w:ind w:left="102" w:right="85"/>
      </w:pPr>
      <w:r>
        <w:rPr>
          <w:rFonts w:ascii="Arial" w:cs="Arial" w:eastAsia="Arial" w:hAnsi="Arial"/>
          <w:sz w:val="24"/>
          <w:szCs w:val="24"/>
        </w:rPr>
        <w:t>Las  disposiciones  de  los  presentes  Lineamientos,  son  complementarias  de  las</w:t>
      </w:r>
      <w:r>
        <w:rPr>
          <w:rFonts w:ascii="Arial" w:cs="Arial" w:eastAsia="Arial" w:hAnsi="Arial"/>
          <w:sz w:val="24"/>
          <w:szCs w:val="24"/>
        </w:rPr>
        <w:t> contenidas en la LIPEEO en materia de diputación migrante o binacional.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4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pict>
          <v:shape style="position:absolute;margin-left:9.12e-06pt;margin-top:0.0004pt;width:611.9pt;height:790.82pt;mso-position-horizontal-relative:page;mso-position-vertical-relative:page;z-index:-772" type="#_x0000_t75">
            <v:imagedata o:title="" r:id="rId8"/>
          </v:shape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5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Las disposiciones de los presentes Lineamientos serán interpretadas conforme a lo</w:t>
      </w:r>
      <w:r>
        <w:rPr>
          <w:rFonts w:ascii="Arial" w:cs="Arial" w:eastAsia="Arial" w:hAnsi="Arial"/>
          <w:sz w:val="24"/>
          <w:szCs w:val="24"/>
        </w:rPr>
        <w:t> establecido por la Constitución Política de los Estados Unidos Mexicanos, la LGIPE,</w:t>
      </w:r>
      <w:r>
        <w:rPr>
          <w:rFonts w:ascii="Arial" w:cs="Arial" w:eastAsia="Arial" w:hAnsi="Arial"/>
          <w:sz w:val="24"/>
          <w:szCs w:val="24"/>
        </w:rPr>
        <w:t> la LGPP, la Constitución Política del Estado Libre y Soberano de Oaxaca, así como</w:t>
      </w:r>
      <w:r>
        <w:rPr>
          <w:rFonts w:ascii="Arial" w:cs="Arial" w:eastAsia="Arial" w:hAnsi="Arial"/>
          <w:sz w:val="24"/>
          <w:szCs w:val="24"/>
        </w:rPr>
        <w:t> los instrumentos internacionales en la materia vinculantes para el Estado Mexicano.</w:t>
      </w:r>
      <w:r>
        <w:rPr>
          <w:rFonts w:ascii="Arial" w:cs="Arial" w:eastAsia="Arial" w:hAnsi="Arial"/>
          <w:sz w:val="24"/>
          <w:szCs w:val="24"/>
        </w:rPr>
        <w:t> En su caso se aplicarán los criterios gramatical, sistemático y funcional atendiendo</w:t>
      </w:r>
      <w:r>
        <w:rPr>
          <w:rFonts w:ascii="Arial" w:cs="Arial" w:eastAsia="Arial" w:hAnsi="Arial"/>
          <w:sz w:val="24"/>
          <w:szCs w:val="24"/>
        </w:rPr>
        <w:t> a lo dispuesto en el último párrafo del Artículo 14 de la Constitución Política de los</w:t>
      </w:r>
      <w:r>
        <w:rPr>
          <w:rFonts w:ascii="Arial" w:cs="Arial" w:eastAsia="Arial" w:hAnsi="Arial"/>
          <w:sz w:val="24"/>
          <w:szCs w:val="24"/>
        </w:rPr>
        <w:t> Estados Unidos Mexicanos.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En todas las postulaciones que realicen los partidos políticos deberán garantizar el</w:t>
      </w:r>
      <w:r>
        <w:rPr>
          <w:rFonts w:ascii="Arial" w:cs="Arial" w:eastAsia="Arial" w:hAnsi="Arial"/>
          <w:sz w:val="24"/>
          <w:szCs w:val="24"/>
        </w:rPr>
        <w:t> principio de paridad  entre mujeres y hombres, así como impulsar y garantizar la</w:t>
      </w:r>
      <w:r>
        <w:rPr>
          <w:rFonts w:ascii="Arial" w:cs="Arial" w:eastAsia="Arial" w:hAnsi="Arial"/>
          <w:sz w:val="24"/>
          <w:szCs w:val="24"/>
        </w:rPr>
        <w:t> participación  de  las  mujeres  indígenas  y  mujeres  afromexicanas  en  igualdad  de</w:t>
      </w:r>
      <w:r>
        <w:rPr>
          <w:rFonts w:ascii="Arial" w:cs="Arial" w:eastAsia="Arial" w:hAnsi="Arial"/>
          <w:sz w:val="24"/>
          <w:szCs w:val="24"/>
        </w:rPr>
        <w:t> condiciones y en contextos libres de violencia basada en el género.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Para  los  efectos  de  los  presentes  lineamientos,  se  considerarán  los  siguientes</w:t>
      </w:r>
      <w:r>
        <w:rPr>
          <w:rFonts w:ascii="Arial" w:cs="Arial" w:eastAsia="Arial" w:hAnsi="Arial"/>
          <w:sz w:val="24"/>
          <w:szCs w:val="24"/>
        </w:rPr>
        <w:t> conceptos: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a)             Migrante: La persona que sale, transita o llega al territorio de un Estado</w:t>
      </w:r>
      <w:r>
        <w:rPr>
          <w:rFonts w:ascii="Arial" w:cs="Arial" w:eastAsia="Arial" w:hAnsi="Arial"/>
          <w:sz w:val="24"/>
          <w:szCs w:val="24"/>
        </w:rPr>
        <w:t> distinto al de su residencia por cualquier tipo de motivación.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b)             Calidad  Binacional:  La  persona  ciudadana  oaxaqueña  residente  en  el</w:t>
      </w:r>
      <w:r>
        <w:rPr>
          <w:rFonts w:ascii="Arial" w:cs="Arial" w:eastAsia="Arial" w:hAnsi="Arial"/>
          <w:sz w:val="24"/>
          <w:szCs w:val="24"/>
        </w:rPr>
        <w:t> extranjero que tiene dos o más nacionalidades.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c)             Candidatura a la Diputación Migrante o Binacional: La persona residente</w:t>
      </w:r>
      <w:r>
        <w:rPr>
          <w:rFonts w:ascii="Arial" w:cs="Arial" w:eastAsia="Arial" w:hAnsi="Arial"/>
          <w:sz w:val="24"/>
          <w:szCs w:val="24"/>
        </w:rPr>
        <w:t> en el extranjero con calidad de originaria de Oaxaca, que cumple con los requisitos</w:t>
      </w:r>
      <w:r>
        <w:rPr>
          <w:rFonts w:ascii="Arial" w:cs="Arial" w:eastAsia="Arial" w:hAnsi="Arial"/>
          <w:sz w:val="24"/>
          <w:szCs w:val="24"/>
        </w:rPr>
        <w:t> dispuestos por la Constitución Política del Estado Libre y Soberano de Oaxaca, la</w:t>
      </w:r>
      <w:r>
        <w:rPr>
          <w:rFonts w:ascii="Arial" w:cs="Arial" w:eastAsia="Arial" w:hAnsi="Arial"/>
          <w:sz w:val="24"/>
          <w:szCs w:val="24"/>
        </w:rPr>
        <w:t> Ley de Instituciones y Procedimientos Electorales del Estado de Oaxaca, así como</w:t>
      </w:r>
      <w:r>
        <w:rPr>
          <w:rFonts w:ascii="Arial" w:cs="Arial" w:eastAsia="Arial" w:hAnsi="Arial"/>
          <w:sz w:val="24"/>
          <w:szCs w:val="24"/>
        </w:rPr>
        <w:t> con lo establecido en las demás disposiciones normativas que resulten aplicables,</w:t>
      </w:r>
      <w:r>
        <w:rPr>
          <w:rFonts w:ascii="Arial" w:cs="Arial" w:eastAsia="Arial" w:hAnsi="Arial"/>
          <w:sz w:val="24"/>
          <w:szCs w:val="24"/>
        </w:rPr>
        <w:t> para  ocupar  el  cargo  de  Diputada  o  Diputado  por  el  principio  de  representación</w:t>
      </w:r>
      <w:r>
        <w:rPr>
          <w:rFonts w:ascii="Arial" w:cs="Arial" w:eastAsia="Arial" w:hAnsi="Arial"/>
          <w:sz w:val="24"/>
          <w:szCs w:val="24"/>
        </w:rPr>
        <w:t> proporcional en el Congreso del Estado de Oaxaca.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d)             Diputación Migrante o Binacional: La Diputada o el Diputado electo por la</w:t>
      </w:r>
      <w:r>
        <w:rPr>
          <w:rFonts w:ascii="Arial" w:cs="Arial" w:eastAsia="Arial" w:hAnsi="Arial"/>
          <w:sz w:val="24"/>
          <w:szCs w:val="24"/>
        </w:rPr>
        <w:t> ciudadanía  tanto  residente  en  el  estado  de  Oaxaca,  como  aquella  originaria  de</w:t>
      </w:r>
      <w:r>
        <w:rPr>
          <w:rFonts w:ascii="Arial" w:cs="Arial" w:eastAsia="Arial" w:hAnsi="Arial"/>
          <w:sz w:val="24"/>
          <w:szCs w:val="24"/>
        </w:rPr>
        <w:t> Oaxaca residente en el extranjero por el principio de representación proporcional en</w:t>
      </w:r>
      <w:r>
        <w:rPr>
          <w:rFonts w:ascii="Arial" w:cs="Arial" w:eastAsia="Arial" w:hAnsi="Arial"/>
          <w:sz w:val="24"/>
          <w:szCs w:val="24"/>
        </w:rPr>
        <w:t> los términos de la LIPPEO y demás normatividad aplicable.</w:t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3" w:line="292" w:lineRule="auto"/>
        <w:ind w:left="61" w:right="117"/>
        <w:sectPr>
          <w:pgSz w:h="15840" w:w="12240"/>
          <w:pgMar w:bottom="280" w:left="1600" w:right="1580" w:top="1480"/>
        </w:sectPr>
      </w:pPr>
      <w:r>
        <w:rPr>
          <w:rFonts w:ascii="Arial" w:cs="Arial" w:eastAsia="Arial" w:hAnsi="Arial"/>
          <w:sz w:val="24"/>
          <w:szCs w:val="24"/>
        </w:rPr>
        <w:t>e)             Requisitos  de  elegibilidad:  Requisitos  que  la  Constitución  Federal,  la</w:t>
      </w:r>
      <w:r>
        <w:rPr>
          <w:rFonts w:ascii="Arial" w:cs="Arial" w:eastAsia="Arial" w:hAnsi="Arial"/>
          <w:sz w:val="24"/>
          <w:szCs w:val="24"/>
        </w:rPr>
        <w:t> Constitución Local, la LIPEEO y los Lineamientos establecen como necesarios para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5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71" type="#_x0000_t75">
            <v:imagedata o:title="" r:id="rId9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que la ciudadanía que postule los partidos políticos en la elección de la Diputación</w:t>
      </w:r>
      <w:r>
        <w:rPr>
          <w:rFonts w:ascii="Arial" w:cs="Arial" w:eastAsia="Arial" w:hAnsi="Arial"/>
          <w:sz w:val="24"/>
          <w:szCs w:val="24"/>
        </w:rPr>
        <w:t> Migrante  o  Binacional,  obtenga  el  registro  de  la  candidatura  ante  el  Consejo</w:t>
      </w:r>
      <w:r>
        <w:rPr>
          <w:rFonts w:ascii="Arial" w:cs="Arial" w:eastAsia="Arial" w:hAnsi="Arial"/>
          <w:sz w:val="24"/>
          <w:szCs w:val="24"/>
        </w:rPr>
        <w:t> General.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Toda la información generada, obtenida, adquirida, transformada o en posesión del</w:t>
      </w:r>
      <w:r>
        <w:rPr>
          <w:rFonts w:ascii="Arial" w:cs="Arial" w:eastAsia="Arial" w:hAnsi="Arial"/>
          <w:sz w:val="24"/>
          <w:szCs w:val="24"/>
        </w:rPr>
        <w:t> IEEPCO,  las   representaciones  de   los  partidos  políticos  y  demás  instancias</w:t>
      </w:r>
      <w:r>
        <w:rPr>
          <w:rFonts w:ascii="Arial" w:cs="Arial" w:eastAsia="Arial" w:hAnsi="Arial"/>
          <w:sz w:val="24"/>
          <w:szCs w:val="24"/>
        </w:rPr>
        <w:t> involucradas es pública y accesible a cualquier persona en los términos que fijen las</w:t>
      </w:r>
      <w:r>
        <w:rPr>
          <w:rFonts w:ascii="Arial" w:cs="Arial" w:eastAsia="Arial" w:hAnsi="Arial"/>
          <w:sz w:val="24"/>
          <w:szCs w:val="24"/>
        </w:rPr>
        <w:t> leyes en materia de transparencia y acceso a la información pública.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El IEEPCO, como organismo público autónomo dotado de personalidad jurídica y</w:t>
      </w:r>
      <w:r>
        <w:rPr>
          <w:rFonts w:ascii="Arial" w:cs="Arial" w:eastAsia="Arial" w:hAnsi="Arial"/>
          <w:sz w:val="24"/>
          <w:szCs w:val="24"/>
        </w:rPr>
        <w:t> patrimonio propios, que recibe y ejerce recursos públicos, es un sujeto obligado en</w:t>
      </w:r>
      <w:r>
        <w:rPr>
          <w:rFonts w:ascii="Arial" w:cs="Arial" w:eastAsia="Arial" w:hAnsi="Arial"/>
          <w:sz w:val="24"/>
          <w:szCs w:val="24"/>
        </w:rPr>
        <w:t> materia de transparencia y acceso a la información, por lo que, incluso dentro de los</w:t>
      </w:r>
      <w:r>
        <w:rPr>
          <w:rFonts w:ascii="Arial" w:cs="Arial" w:eastAsia="Arial" w:hAnsi="Arial"/>
          <w:sz w:val="24"/>
          <w:szCs w:val="24"/>
        </w:rPr>
        <w:t> procesos electorales, a partir del inicio de las precampañas y hasta la conclusión</w:t>
      </w:r>
      <w:r>
        <w:rPr>
          <w:rFonts w:ascii="Arial" w:cs="Arial" w:eastAsia="Arial" w:hAnsi="Arial"/>
          <w:sz w:val="24"/>
          <w:szCs w:val="24"/>
        </w:rPr>
        <w:t> del  proceso  electoral,  deberá  mantener  accesible  la  información  en  el  portal  de</w:t>
      </w:r>
      <w:r>
        <w:rPr>
          <w:rFonts w:ascii="Arial" w:cs="Arial" w:eastAsia="Arial" w:hAnsi="Arial"/>
          <w:sz w:val="24"/>
          <w:szCs w:val="24"/>
        </w:rPr>
        <w:t> obligaciones  de  transparencia,  salvo  disposición  expresa  en  contrario  en  la</w:t>
      </w:r>
      <w:r>
        <w:rPr>
          <w:rFonts w:ascii="Arial" w:cs="Arial" w:eastAsia="Arial" w:hAnsi="Arial"/>
          <w:sz w:val="24"/>
          <w:szCs w:val="24"/>
        </w:rPr>
        <w:t> normatividad electoral.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81"/>
      </w:pPr>
      <w:r>
        <w:rPr>
          <w:rFonts w:ascii="Arial" w:cs="Arial" w:eastAsia="Arial" w:hAnsi="Arial"/>
          <w:b/>
          <w:sz w:val="24"/>
          <w:szCs w:val="24"/>
        </w:rPr>
        <w:t>ARTÍCULO 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Es  derecho  de  la  ciudadanía  originaria  del  estado  de  Oaxaca,  que  resida  en  el</w:t>
      </w:r>
      <w:r>
        <w:rPr>
          <w:rFonts w:ascii="Arial" w:cs="Arial" w:eastAsia="Arial" w:hAnsi="Arial"/>
          <w:sz w:val="24"/>
          <w:szCs w:val="24"/>
        </w:rPr>
        <w:t> extranjero,  contar  con  representatividad  en el  Congreso  Local  y  contender  a  las</w:t>
      </w:r>
      <w:r>
        <w:rPr>
          <w:rFonts w:ascii="Arial" w:cs="Arial" w:eastAsia="Arial" w:hAnsi="Arial"/>
          <w:sz w:val="24"/>
          <w:szCs w:val="24"/>
        </w:rPr>
        <w:t> diputaciones  por  el  principio  de  representación  proporcional,  siempre  y  cuando</w:t>
      </w:r>
      <w:r>
        <w:rPr>
          <w:rFonts w:ascii="Arial" w:cs="Arial" w:eastAsia="Arial" w:hAnsi="Arial"/>
          <w:sz w:val="24"/>
          <w:szCs w:val="24"/>
        </w:rPr>
        <w:t> cumpla con las calidades previstas en la normativa aplicable a la materia.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10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Es atribución del INE fijar las reglas, lineamientos, criterios y formatos en materia</w:t>
      </w:r>
      <w:r>
        <w:rPr>
          <w:rFonts w:ascii="Arial" w:cs="Arial" w:eastAsia="Arial" w:hAnsi="Arial"/>
          <w:sz w:val="24"/>
          <w:szCs w:val="24"/>
        </w:rPr>
        <w:t> de observación electoral; en caso de la ciudadanía residente en el extranjero, el</w:t>
      </w:r>
      <w:r>
        <w:rPr>
          <w:rFonts w:ascii="Arial" w:cs="Arial" w:eastAsia="Arial" w:hAnsi="Arial"/>
          <w:sz w:val="24"/>
          <w:szCs w:val="24"/>
        </w:rPr>
        <w:t> IEEPCO   contribuirá   con   la   difusión   de   la   información,   material   didáctico   y</w:t>
      </w:r>
      <w:r>
        <w:rPr>
          <w:rFonts w:ascii="Arial" w:cs="Arial" w:eastAsia="Arial" w:hAnsi="Arial"/>
          <w:sz w:val="24"/>
          <w:szCs w:val="24"/>
        </w:rPr>
        <w:t> convocatoria dirigida a las y los observadores electorales, a fin de que la ciudadanía</w:t>
      </w:r>
      <w:r>
        <w:rPr>
          <w:rFonts w:ascii="Arial" w:cs="Arial" w:eastAsia="Arial" w:hAnsi="Arial"/>
          <w:sz w:val="24"/>
          <w:szCs w:val="24"/>
        </w:rPr>
        <w:t> disponga  de  las  herramientas  de  educación  a  distancia  para  la  capacitación</w:t>
      </w:r>
      <w:r>
        <w:rPr>
          <w:rFonts w:ascii="Arial" w:cs="Arial" w:eastAsia="Arial" w:hAnsi="Arial"/>
          <w:sz w:val="24"/>
          <w:szCs w:val="24"/>
        </w:rPr>
        <w:t> correspondiente.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3770" w:right="3787"/>
      </w:pPr>
      <w:r>
        <w:rPr>
          <w:rFonts w:ascii="Arial" w:cs="Arial" w:eastAsia="Arial" w:hAnsi="Arial"/>
          <w:b/>
          <w:position w:val="-1"/>
          <w:sz w:val="24"/>
          <w:szCs w:val="24"/>
        </w:rPr>
        <w:t>CAPÍTULO II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6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70" type="#_x0000_t75">
            <v:imagedata o:title="" r:id="rId10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 w:line="277" w:lineRule="auto"/>
        <w:ind w:left="137" w:right="162"/>
      </w:pPr>
      <w:r>
        <w:rPr>
          <w:rFonts w:ascii="Arial" w:cs="Arial" w:eastAsia="Arial" w:hAnsi="Arial"/>
          <w:b/>
          <w:sz w:val="24"/>
          <w:szCs w:val="24"/>
        </w:rPr>
        <w:t>DE LA POSTULACIÓN DE CANDIDATURAS A LA DIPUTACIÓN MIGRANTE O</w:t>
      </w:r>
      <w:r>
        <w:rPr>
          <w:rFonts w:ascii="Arial" w:cs="Arial" w:eastAsia="Arial" w:hAnsi="Arial"/>
          <w:b/>
          <w:sz w:val="24"/>
          <w:szCs w:val="24"/>
        </w:rPr>
        <w:t> BINACIONAL POR EL PRINCIPIO DE REPRESENTACIÓN PROPORCIONAL.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En  términos  de  lo  dispuesto  en  la  Constitución  Local  y  la  LIPEEO,  el  Poder</w:t>
      </w:r>
      <w:r>
        <w:rPr>
          <w:rFonts w:ascii="Arial" w:cs="Arial" w:eastAsia="Arial" w:hAnsi="Arial"/>
          <w:sz w:val="24"/>
          <w:szCs w:val="24"/>
        </w:rPr>
        <w:t> Legislativo se ejerce por el Congreso y está integrado por 25 diputaciones electas</w:t>
      </w:r>
      <w:r>
        <w:rPr>
          <w:rFonts w:ascii="Arial" w:cs="Arial" w:eastAsia="Arial" w:hAnsi="Arial"/>
          <w:sz w:val="24"/>
          <w:szCs w:val="24"/>
        </w:rPr>
        <w:t> según  el  principio  de  mayoría  relativa  en  distritos  electorales  uninominales  y  17</w:t>
      </w:r>
      <w:r>
        <w:rPr>
          <w:rFonts w:ascii="Arial" w:cs="Arial" w:eastAsia="Arial" w:hAnsi="Arial"/>
          <w:sz w:val="24"/>
          <w:szCs w:val="24"/>
        </w:rPr>
        <w:t> diputaciones que serán electas según el principio de representación proporcional,</w:t>
      </w:r>
      <w:r>
        <w:rPr>
          <w:rFonts w:ascii="Arial" w:cs="Arial" w:eastAsia="Arial" w:hAnsi="Arial"/>
          <w:sz w:val="24"/>
          <w:szCs w:val="24"/>
        </w:rPr>
        <w:t> en el que se incluye la diputación migrante o binacional, mediante el sistema de lista</w:t>
      </w:r>
      <w:r>
        <w:rPr>
          <w:rFonts w:ascii="Arial" w:cs="Arial" w:eastAsia="Arial" w:hAnsi="Arial"/>
          <w:sz w:val="24"/>
          <w:szCs w:val="24"/>
        </w:rPr>
        <w:t> votada  en  una  sola  circunscripción  plurinominal,  observando  en  ambos casos el</w:t>
      </w:r>
      <w:r>
        <w:rPr>
          <w:rFonts w:ascii="Arial" w:cs="Arial" w:eastAsia="Arial" w:hAnsi="Arial"/>
          <w:sz w:val="24"/>
          <w:szCs w:val="24"/>
        </w:rPr>
        <w:t> principio de paridad y alternancia entre mujeres y hombres.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Para obtener el registro de su lista estatal, el partido político que lo solicite, deberá</w:t>
      </w:r>
      <w:r>
        <w:rPr>
          <w:rFonts w:ascii="Arial" w:cs="Arial" w:eastAsia="Arial" w:hAnsi="Arial"/>
          <w:sz w:val="24"/>
          <w:szCs w:val="24"/>
        </w:rPr>
        <w:t> acreditar que participa con candidaturas a diputaciones de mayoría relativa en por</w:t>
      </w:r>
      <w:r>
        <w:rPr>
          <w:rFonts w:ascii="Arial" w:cs="Arial" w:eastAsia="Arial" w:hAnsi="Arial"/>
          <w:sz w:val="24"/>
          <w:szCs w:val="24"/>
        </w:rPr>
        <w:t> lo  menos  doce  distritos  uninominales,  garantizando  la  paridad  entre  mujeres  y</w:t>
      </w:r>
      <w:r>
        <w:rPr>
          <w:rFonts w:ascii="Arial" w:cs="Arial" w:eastAsia="Arial" w:hAnsi="Arial"/>
          <w:sz w:val="24"/>
          <w:szCs w:val="24"/>
        </w:rPr>
        <w:t> hombres.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El   registro   de   las   candidaturas   a   diputaciones   locales   por   el   principio   de</w:t>
      </w:r>
      <w:r>
        <w:rPr>
          <w:rFonts w:ascii="Arial" w:cs="Arial" w:eastAsia="Arial" w:hAnsi="Arial"/>
          <w:sz w:val="24"/>
          <w:szCs w:val="24"/>
        </w:rPr>
        <w:t> representación proporcional, se realizará conforme a lo señalado en el artículo 186</w:t>
      </w:r>
      <w:r>
        <w:rPr>
          <w:rFonts w:ascii="Arial" w:cs="Arial" w:eastAsia="Arial" w:hAnsi="Arial"/>
          <w:sz w:val="24"/>
          <w:szCs w:val="24"/>
        </w:rPr>
        <w:t> numeral 4 de la LIPEEO, que establece: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I. Por listas de diecisiete candidaturas a diputaciones propietarias y suplentes por el</w:t>
      </w:r>
      <w:r>
        <w:rPr>
          <w:rFonts w:ascii="Arial" w:cs="Arial" w:eastAsia="Arial" w:hAnsi="Arial"/>
          <w:sz w:val="24"/>
          <w:szCs w:val="24"/>
        </w:rPr>
        <w:t> principio de representación proporcional; y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II. Por relaciones de hasta veinticinco candidaturas a diputaciones por el principio</w:t>
      </w:r>
      <w:r>
        <w:rPr>
          <w:rFonts w:ascii="Arial" w:cs="Arial" w:eastAsia="Arial" w:hAnsi="Arial"/>
          <w:sz w:val="24"/>
          <w:szCs w:val="24"/>
        </w:rPr>
        <w:t> de  representación  proporcional,  conformadas  con  las  mismas  candidaturas  de</w:t>
      </w:r>
      <w:r>
        <w:rPr>
          <w:rFonts w:ascii="Arial" w:cs="Arial" w:eastAsia="Arial" w:hAnsi="Arial"/>
          <w:sz w:val="24"/>
          <w:szCs w:val="24"/>
        </w:rPr>
        <w:t> mayoría relativa, salvo la fórmula a la candidatura migrante o binacional, que deberá</w:t>
      </w:r>
      <w:r>
        <w:rPr>
          <w:rFonts w:ascii="Arial" w:cs="Arial" w:eastAsia="Arial" w:hAnsi="Arial"/>
          <w:sz w:val="24"/>
          <w:szCs w:val="24"/>
        </w:rPr>
        <w:t> atender los requisitos establecidos en el artículo 16 de los presentes Lineamientos.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Estas listas se integrarán por fórmulas de candidaturas compuestas cada una por</w:t>
      </w:r>
      <w:r>
        <w:rPr>
          <w:rFonts w:ascii="Arial" w:cs="Arial" w:eastAsia="Arial" w:hAnsi="Arial"/>
          <w:sz w:val="24"/>
          <w:szCs w:val="24"/>
        </w:rPr>
        <w:t> una candidatura propietaria y una suplente del mismo género. Los partidos políticos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60" w:lineRule="exact"/>
        <w:ind w:left="102" w:right="91"/>
      </w:pPr>
      <w:r>
        <w:rPr>
          <w:rFonts w:ascii="Arial" w:cs="Arial" w:eastAsia="Arial" w:hAnsi="Arial"/>
          <w:position w:val="-1"/>
          <w:sz w:val="24"/>
          <w:szCs w:val="24"/>
        </w:rPr>
        <w:t>garantizarán la paridad entre mujeres y hombres, registrando en el primer lugar de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7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9" type="#_x0000_t75">
            <v:imagedata o:title="" r:id="rId11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7" w:lineRule="auto"/>
        <w:ind w:left="102" w:right="88"/>
      </w:pPr>
      <w:r>
        <w:rPr>
          <w:rFonts w:ascii="Arial" w:cs="Arial" w:eastAsia="Arial" w:hAnsi="Arial"/>
          <w:sz w:val="24"/>
          <w:szCs w:val="24"/>
        </w:rPr>
        <w:t>la lista, una candidata mujer y subsecuentemente, alternando candidaturas de uno</w:t>
      </w:r>
      <w:r>
        <w:rPr>
          <w:rFonts w:ascii="Arial" w:cs="Arial" w:eastAsia="Arial" w:hAnsi="Arial"/>
          <w:sz w:val="24"/>
          <w:szCs w:val="24"/>
        </w:rPr>
        <w:t> y otro sexo hasta agotar la lista.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Todos los partidos políticos integrarán en su lista de representación proporcional, al</w:t>
      </w:r>
      <w:r>
        <w:rPr>
          <w:rFonts w:ascii="Arial" w:cs="Arial" w:eastAsia="Arial" w:hAnsi="Arial"/>
          <w:sz w:val="24"/>
          <w:szCs w:val="24"/>
        </w:rPr>
        <w:t> menos una candidatura Migrante o Binacional, según corresponda la alternancia de</w:t>
      </w:r>
      <w:r>
        <w:rPr>
          <w:rFonts w:ascii="Arial" w:cs="Arial" w:eastAsia="Arial" w:hAnsi="Arial"/>
          <w:sz w:val="24"/>
          <w:szCs w:val="24"/>
        </w:rPr>
        <w:t> género.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La  postulación  de  la  candidatura  a  la  diputación  migrante  o  binacional  deberá</w:t>
      </w:r>
      <w:r>
        <w:rPr>
          <w:rFonts w:ascii="Arial" w:cs="Arial" w:eastAsia="Arial" w:hAnsi="Arial"/>
          <w:sz w:val="24"/>
          <w:szCs w:val="24"/>
        </w:rPr>
        <w:t> garantizarse  dentro  del  primer  treinta  por  ciento  de  la  lista  de  candidaturas  a</w:t>
      </w:r>
      <w:r>
        <w:rPr>
          <w:rFonts w:ascii="Arial" w:cs="Arial" w:eastAsia="Arial" w:hAnsi="Arial"/>
          <w:sz w:val="24"/>
          <w:szCs w:val="24"/>
        </w:rPr>
        <w:t> diputaciones  de  representación  proporcional  que  presente  el  partido  político,</w:t>
      </w:r>
      <w:r>
        <w:rPr>
          <w:rFonts w:ascii="Arial" w:cs="Arial" w:eastAsia="Arial" w:hAnsi="Arial"/>
          <w:sz w:val="24"/>
          <w:szCs w:val="24"/>
        </w:rPr>
        <w:t> conforme a lo marcado en el artículo 186 numeral 4, de la LIPEEO, de acuerdo a lo</w:t>
      </w:r>
      <w:r>
        <w:rPr>
          <w:rFonts w:ascii="Arial" w:cs="Arial" w:eastAsia="Arial" w:hAnsi="Arial"/>
          <w:sz w:val="24"/>
          <w:szCs w:val="24"/>
        </w:rPr>
        <w:t> siguiente: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a) Si el registro se realiza conforme a la fracción primera, esta deberá considerar</w:t>
      </w:r>
      <w:r>
        <w:rPr>
          <w:rFonts w:ascii="Arial" w:cs="Arial" w:eastAsia="Arial" w:hAnsi="Arial"/>
          <w:sz w:val="24"/>
          <w:szCs w:val="24"/>
        </w:rPr>
        <w:t> dentro del primer treinta por ciento de lugares de la lista.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b) Si el registro se realiza conforme a la fracción segunda, el partido político deberá</w:t>
      </w:r>
      <w:r>
        <w:rPr>
          <w:rFonts w:ascii="Arial" w:cs="Arial" w:eastAsia="Arial" w:hAnsi="Arial"/>
          <w:sz w:val="24"/>
          <w:szCs w:val="24"/>
        </w:rPr>
        <w:t> indicar  en  que  lugar  de  la  lista  dentro  del  primer  treinta  por  ciento  ocupará  la</w:t>
      </w:r>
      <w:r>
        <w:rPr>
          <w:rFonts w:ascii="Arial" w:cs="Arial" w:eastAsia="Arial" w:hAnsi="Arial"/>
          <w:sz w:val="24"/>
          <w:szCs w:val="24"/>
        </w:rPr>
        <w:t> candidatura migrante, respetando el principio de paridad de género.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869" w:right="3887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 w:line="275" w:lineRule="auto"/>
        <w:ind w:firstLine="4" w:left="218" w:right="243"/>
      </w:pPr>
      <w:r>
        <w:rPr>
          <w:rFonts w:ascii="Arial" w:cs="Arial" w:eastAsia="Arial" w:hAnsi="Arial"/>
          <w:b/>
          <w:sz w:val="24"/>
          <w:szCs w:val="24"/>
        </w:rPr>
        <w:t>DEL REGISTRO DE CANDIDATURAS A LA DIPUTACIÓN MIGRANTE O</w:t>
      </w:r>
      <w:r>
        <w:rPr>
          <w:rFonts w:ascii="Arial" w:cs="Arial" w:eastAsia="Arial" w:hAnsi="Arial"/>
          <w:b/>
          <w:sz w:val="24"/>
          <w:szCs w:val="24"/>
        </w:rPr>
        <w:t> BINACIONAL POR EL PRINCIPIO DE REPRESENTACIÓN PROPORCIONAL.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Corresponde  exclusivamente  a  los  partidos  políticos  nacionales  y  locales  con  el</w:t>
      </w:r>
      <w:r>
        <w:rPr>
          <w:rFonts w:ascii="Arial" w:cs="Arial" w:eastAsia="Arial" w:hAnsi="Arial"/>
          <w:sz w:val="24"/>
          <w:szCs w:val="24"/>
        </w:rPr>
        <w:t> registro  en  el  estado,  el  derecho  de  solicitar  el  registro  de  candidaturas  a  la</w:t>
      </w:r>
      <w:r>
        <w:rPr>
          <w:rFonts w:ascii="Arial" w:cs="Arial" w:eastAsia="Arial" w:hAnsi="Arial"/>
          <w:sz w:val="24"/>
          <w:szCs w:val="24"/>
        </w:rPr>
        <w:t> diputación migrante o binacional por el principio de representación proporcional.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7" w:lineRule="auto"/>
        <w:ind w:left="102" w:right="74"/>
      </w:pPr>
      <w:r>
        <w:rPr>
          <w:rFonts w:ascii="Arial" w:cs="Arial" w:eastAsia="Arial" w:hAnsi="Arial"/>
          <w:sz w:val="24"/>
          <w:szCs w:val="24"/>
        </w:rPr>
        <w:t>Para efectos del registro de candidaturas a la diputación migrante o binacional, la</w:t>
      </w:r>
      <w:r>
        <w:rPr>
          <w:rFonts w:ascii="Arial" w:cs="Arial" w:eastAsia="Arial" w:hAnsi="Arial"/>
          <w:sz w:val="24"/>
          <w:szCs w:val="24"/>
        </w:rPr>
        <w:t> persona candidata, en términos del artículo 182, párrafo 3 de la LIPEEO, acreditará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1081"/>
      </w:pPr>
      <w:r>
        <w:rPr>
          <w:rFonts w:ascii="Arial" w:cs="Arial" w:eastAsia="Arial" w:hAnsi="Arial"/>
          <w:position w:val="-1"/>
          <w:sz w:val="24"/>
          <w:szCs w:val="24"/>
        </w:rPr>
        <w:t>su condición de migrante mediante cualquiera de las siguientes opciones: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8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pict>
          <v:shape style="position:absolute;margin-left:9.12e-06pt;margin-top:0.0004pt;width:611.9pt;height:790.82pt;mso-position-horizontal-relative:page;mso-position-vertical-relative:page;z-index:-768" type="#_x0000_t75">
            <v:imagedata o:title="" r:id="rId12"/>
          </v:shape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I.         Credencial para votar en el extranjero, emitida por el INE antes del inicio del</w:t>
      </w:r>
      <w:r>
        <w:rPr>
          <w:rFonts w:ascii="Arial" w:cs="Arial" w:eastAsia="Arial" w:hAnsi="Arial"/>
          <w:sz w:val="24"/>
          <w:szCs w:val="24"/>
        </w:rPr>
        <w:t> proceso electoral que corresponda, o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"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II.        A través de su inscripción al Listado de Electores Residentes en el Extranjero</w:t>
      </w:r>
      <w:r>
        <w:rPr>
          <w:rFonts w:ascii="Arial" w:cs="Arial" w:eastAsia="Arial" w:hAnsi="Arial"/>
          <w:sz w:val="24"/>
          <w:szCs w:val="24"/>
        </w:rPr>
        <w:t> que elabora el INE antes del inicio de las precampañas.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La  persona  candidata  a  la  diputación  migrante  o  binacional  por  el  principio  de</w:t>
      </w:r>
      <w:r>
        <w:rPr>
          <w:rFonts w:ascii="Arial" w:cs="Arial" w:eastAsia="Arial" w:hAnsi="Arial"/>
          <w:sz w:val="24"/>
          <w:szCs w:val="24"/>
        </w:rPr>
        <w:t> representación proporcional, en términos de lo dispuesto en la Constitución Local,</w:t>
      </w:r>
      <w:r>
        <w:rPr>
          <w:rFonts w:ascii="Arial" w:cs="Arial" w:eastAsia="Arial" w:hAnsi="Arial"/>
          <w:sz w:val="24"/>
          <w:szCs w:val="24"/>
        </w:rPr>
        <w:t> la  LIPEEO  y  los  Lineamientos  en  Materia  de  Paridad  de  Género  del  IEEPCO,</w:t>
      </w:r>
      <w:r>
        <w:rPr>
          <w:rFonts w:ascii="Arial" w:cs="Arial" w:eastAsia="Arial" w:hAnsi="Arial"/>
          <w:sz w:val="24"/>
          <w:szCs w:val="24"/>
        </w:rPr>
        <w:t> deberán satisfacer los siguientes requisitos: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7" w:lineRule="auto"/>
        <w:ind w:left="102" w:right="418"/>
      </w:pPr>
      <w:r>
        <w:rPr>
          <w:rFonts w:ascii="Arial" w:cs="Arial" w:eastAsia="Arial" w:hAnsi="Arial"/>
          <w:sz w:val="24"/>
          <w:szCs w:val="24"/>
        </w:rPr>
        <w:t>I.         Ser nativa del estado de Oaxaca con residencia efectiva en el extranjero</w:t>
      </w:r>
      <w:r>
        <w:rPr>
          <w:rFonts w:ascii="Arial" w:cs="Arial" w:eastAsia="Arial" w:hAnsi="Arial"/>
          <w:sz w:val="24"/>
          <w:szCs w:val="24"/>
        </w:rPr>
        <w:t> mínima de dos años inmediatos anteriores a la fecha de la elección;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1494"/>
      </w:pPr>
      <w:r>
        <w:rPr>
          <w:rFonts w:ascii="Arial" w:cs="Arial" w:eastAsia="Arial" w:hAnsi="Arial"/>
          <w:sz w:val="24"/>
          <w:szCs w:val="24"/>
        </w:rPr>
        <w:t>II.        Tener más de 18 años cumplidos en la fecha de la postulación;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959"/>
      </w:pPr>
      <w:r>
        <w:rPr>
          <w:rFonts w:ascii="Arial" w:cs="Arial" w:eastAsia="Arial" w:hAnsi="Arial"/>
          <w:sz w:val="24"/>
          <w:szCs w:val="24"/>
        </w:rPr>
        <w:t>III.       Estar en pleno ejercicio de sus derechos civiles y jurídicos;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77" w:lineRule="auto"/>
        <w:ind w:left="102" w:right="416"/>
      </w:pPr>
      <w:r>
        <w:rPr>
          <w:rFonts w:ascii="Arial" w:cs="Arial" w:eastAsia="Arial" w:hAnsi="Arial"/>
          <w:sz w:val="24"/>
          <w:szCs w:val="24"/>
        </w:rPr>
        <w:t>IV.      No haber tomado participación directa ni indirecta en asonadas, motines</w:t>
      </w:r>
      <w:r>
        <w:rPr>
          <w:rFonts w:ascii="Arial" w:cs="Arial" w:eastAsia="Arial" w:hAnsi="Arial"/>
          <w:sz w:val="24"/>
          <w:szCs w:val="24"/>
        </w:rPr>
        <w:t> o cuartelazos;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2537"/>
      </w:pPr>
      <w:r>
        <w:rPr>
          <w:rFonts w:ascii="Arial" w:cs="Arial" w:eastAsia="Arial" w:hAnsi="Arial"/>
          <w:sz w:val="24"/>
          <w:szCs w:val="24"/>
        </w:rPr>
        <w:t>V.       No haber sido condenada por delitos internacionales.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234"/>
      </w:pPr>
      <w:r>
        <w:rPr>
          <w:rFonts w:ascii="Arial" w:cs="Arial" w:eastAsia="Arial" w:hAnsi="Arial"/>
          <w:sz w:val="24"/>
          <w:szCs w:val="24"/>
        </w:rPr>
        <w:t>Aunado a lo anterior, deberá cumplir con lo siguiente: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I.         Estar inscrita en el Registro Federal de Electores y contar con credencial para</w:t>
      </w:r>
      <w:r>
        <w:rPr>
          <w:rFonts w:ascii="Arial" w:cs="Arial" w:eastAsia="Arial" w:hAnsi="Arial"/>
          <w:sz w:val="24"/>
          <w:szCs w:val="24"/>
        </w:rPr>
        <w:t> votar con fotografía;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II.        No  ser  magistrada  o  magistrado  del  Tribunal  de  Justicia,  Secretaria  o</w:t>
      </w:r>
      <w:r>
        <w:rPr>
          <w:rFonts w:ascii="Arial" w:cs="Arial" w:eastAsia="Arial" w:hAnsi="Arial"/>
          <w:sz w:val="24"/>
          <w:szCs w:val="24"/>
        </w:rPr>
        <w:t> Secretario General de Gobierno, Secretaria o Secretario de los diferentes ramos de</w:t>
      </w:r>
      <w:r>
        <w:rPr>
          <w:rFonts w:ascii="Arial" w:cs="Arial" w:eastAsia="Arial" w:hAnsi="Arial"/>
          <w:sz w:val="24"/>
          <w:szCs w:val="24"/>
        </w:rPr>
        <w:t> la  Administración  Pública  Estatal,  Subsecretaria  o  Subsecretario  de  Gobierno,</w:t>
      </w:r>
      <w:r>
        <w:rPr>
          <w:rFonts w:ascii="Arial" w:cs="Arial" w:eastAsia="Arial" w:hAnsi="Arial"/>
          <w:sz w:val="24"/>
          <w:szCs w:val="24"/>
        </w:rPr>
        <w:t> Fiscal  General  del  Estado  de  Oaxaca,  así  como  Fiscal  Especial,  Presidentas  o</w:t>
      </w:r>
      <w:r>
        <w:rPr>
          <w:rFonts w:ascii="Arial" w:cs="Arial" w:eastAsia="Arial" w:hAnsi="Arial"/>
          <w:sz w:val="24"/>
          <w:szCs w:val="24"/>
        </w:rPr>
        <w:t> Presidentes  Municipales,  militares en  servicio  activo  y  cualquier  otro  servidora o</w:t>
      </w:r>
      <w:r>
        <w:rPr>
          <w:rFonts w:ascii="Arial" w:cs="Arial" w:eastAsia="Arial" w:hAnsi="Arial"/>
          <w:sz w:val="24"/>
          <w:szCs w:val="24"/>
        </w:rPr>
        <w:t> servidor público de la Federación, del Estado o de los Municipios con facultades</w:t>
      </w:r>
      <w:r>
        <w:rPr>
          <w:rFonts w:ascii="Arial" w:cs="Arial" w:eastAsia="Arial" w:hAnsi="Arial"/>
          <w:sz w:val="24"/>
          <w:szCs w:val="24"/>
        </w:rPr>
        <w:t> ejecutivas, a menos que se separen de sus cargos con setenta días de anticipación</w:t>
      </w:r>
      <w:r>
        <w:rPr>
          <w:rFonts w:ascii="Arial" w:cs="Arial" w:eastAsia="Arial" w:hAnsi="Arial"/>
          <w:sz w:val="24"/>
          <w:szCs w:val="24"/>
        </w:rPr>
        <w:t> a la fecha de su elección. Las diputadas, los diputados, las síndicas, los síndicos,</w:t>
      </w:r>
      <w:r>
        <w:rPr>
          <w:rFonts w:ascii="Arial" w:cs="Arial" w:eastAsia="Arial" w:hAnsi="Arial"/>
          <w:sz w:val="24"/>
          <w:szCs w:val="24"/>
        </w:rPr>
        <w:t> las regidoras y los regidores no requerirán separarse de sus cargos;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7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III.       No pertenecer al personal profesional de organismos electorales, federales o</w:t>
      </w:r>
      <w:r>
        <w:rPr>
          <w:rFonts w:ascii="Arial" w:cs="Arial" w:eastAsia="Arial" w:hAnsi="Arial"/>
          <w:sz w:val="24"/>
          <w:szCs w:val="24"/>
        </w:rPr>
        <w:t> estatales, salvo que se separe del cargo dos años antes de la fecha de la elección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7254"/>
      </w:pPr>
      <w:r>
        <w:rPr>
          <w:rFonts w:ascii="Arial" w:cs="Arial" w:eastAsia="Arial" w:hAnsi="Arial"/>
          <w:position w:val="-1"/>
          <w:sz w:val="24"/>
          <w:szCs w:val="24"/>
        </w:rPr>
        <w:t>de que se trate;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17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9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7" type="#_x0000_t75">
            <v:imagedata o:title="" r:id="rId13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IV.      No  ser  Presidenta,  Presidente  y  Consejeras,  Consejeros  Electorales  del</w:t>
      </w:r>
      <w:r>
        <w:rPr>
          <w:rFonts w:ascii="Arial" w:cs="Arial" w:eastAsia="Arial" w:hAnsi="Arial"/>
          <w:sz w:val="24"/>
          <w:szCs w:val="24"/>
        </w:rPr>
        <w:t> Consejo  General  del  Instituto  Estatal  Electoral  y  de  Participación  Ciudadana  de</w:t>
      </w:r>
      <w:r>
        <w:rPr>
          <w:rFonts w:ascii="Arial" w:cs="Arial" w:eastAsia="Arial" w:hAnsi="Arial"/>
          <w:sz w:val="24"/>
          <w:szCs w:val="24"/>
        </w:rPr>
        <w:t> Oaxaca,  así  como  Secretaria  Ejecutiva,  Secretario  Ejecutivo  o  titular  de  una</w:t>
      </w:r>
      <w:r>
        <w:rPr>
          <w:rFonts w:ascii="Arial" w:cs="Arial" w:eastAsia="Arial" w:hAnsi="Arial"/>
          <w:sz w:val="24"/>
          <w:szCs w:val="24"/>
        </w:rPr>
        <w:t> Dirección Ejecutiva del Instituto mencionado; Auditora, Auditor y Sub Auditores de</w:t>
      </w:r>
      <w:r>
        <w:rPr>
          <w:rFonts w:ascii="Arial" w:cs="Arial" w:eastAsia="Arial" w:hAnsi="Arial"/>
          <w:sz w:val="24"/>
          <w:szCs w:val="24"/>
        </w:rPr>
        <w:t> la Auditoría Superior del Estado; titulares del Instituto de Acceso a la Información</w:t>
      </w:r>
      <w:r>
        <w:rPr>
          <w:rFonts w:ascii="Arial" w:cs="Arial" w:eastAsia="Arial" w:hAnsi="Arial"/>
          <w:sz w:val="24"/>
          <w:szCs w:val="24"/>
        </w:rPr>
        <w:t> Pública y Protección de Datos Personales; Defensor y Secretario Ejecutivo, de la</w:t>
      </w:r>
      <w:r>
        <w:rPr>
          <w:rFonts w:ascii="Arial" w:cs="Arial" w:eastAsia="Arial" w:hAnsi="Arial"/>
          <w:sz w:val="24"/>
          <w:szCs w:val="24"/>
        </w:rPr>
        <w:t> Defensoría de los Derechos Humanos del Pueblo de Oaxaca, así como Magistrados</w:t>
      </w:r>
      <w:r>
        <w:rPr>
          <w:rFonts w:ascii="Arial" w:cs="Arial" w:eastAsia="Arial" w:hAnsi="Arial"/>
          <w:sz w:val="24"/>
          <w:szCs w:val="24"/>
        </w:rPr>
        <w:t> del Tribunal de lo Contencioso Administrativo y de cuentas, sino hasta después de</w:t>
      </w:r>
      <w:r>
        <w:rPr>
          <w:rFonts w:ascii="Arial" w:cs="Arial" w:eastAsia="Arial" w:hAnsi="Arial"/>
          <w:sz w:val="24"/>
          <w:szCs w:val="24"/>
        </w:rPr>
        <w:t> transcurridos dos años de haberse separado de su cargo;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V.       Las   Magistradas,   los   Magistrados   o   las   Secretarias,   los   Secretarios</w:t>
      </w:r>
      <w:r>
        <w:rPr>
          <w:rFonts w:ascii="Arial" w:cs="Arial" w:eastAsia="Arial" w:hAnsi="Arial"/>
          <w:sz w:val="24"/>
          <w:szCs w:val="24"/>
        </w:rPr>
        <w:t> Generales o de Estudio y Cuenta del Tribunal, concluido su encargo, no podrán</w:t>
      </w:r>
      <w:r>
        <w:rPr>
          <w:rFonts w:ascii="Arial" w:cs="Arial" w:eastAsia="Arial" w:hAnsi="Arial"/>
          <w:sz w:val="24"/>
          <w:szCs w:val="24"/>
        </w:rPr>
        <w:t> asumir  un  cargo  público  en  los  órganos  emanados  de  las  elecciones  sobre  las</w:t>
      </w:r>
      <w:r>
        <w:rPr>
          <w:rFonts w:ascii="Arial" w:cs="Arial" w:eastAsia="Arial" w:hAnsi="Arial"/>
          <w:sz w:val="24"/>
          <w:szCs w:val="24"/>
        </w:rPr>
        <w:t> cuales se hayan pronunciado, ni ser postulados para un cargo de elección popular</w:t>
      </w:r>
      <w:r>
        <w:rPr>
          <w:rFonts w:ascii="Arial" w:cs="Arial" w:eastAsia="Arial" w:hAnsi="Arial"/>
          <w:sz w:val="24"/>
          <w:szCs w:val="24"/>
        </w:rPr>
        <w:t> o asumir un cargo de dirigencia partidista, por un plazo equivalente a una cuarta</w:t>
      </w:r>
      <w:r>
        <w:rPr>
          <w:rFonts w:ascii="Arial" w:cs="Arial" w:eastAsia="Arial" w:hAnsi="Arial"/>
          <w:sz w:val="24"/>
          <w:szCs w:val="24"/>
        </w:rPr>
        <w:t> parte del tiempo en que haya ejercido su función.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VI.      No estar sancionada o sancionado por violencia política contra las mujeres</w:t>
      </w:r>
      <w:r>
        <w:rPr>
          <w:rFonts w:ascii="Arial" w:cs="Arial" w:eastAsia="Arial" w:hAnsi="Arial"/>
          <w:sz w:val="24"/>
          <w:szCs w:val="24"/>
        </w:rPr>
        <w:t> en razón de género, ni en México ni en el país de residencia.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VII.     No estar sentenciada o sentenciado por los delitos de violencia política contra</w:t>
      </w:r>
      <w:r>
        <w:rPr>
          <w:rFonts w:ascii="Arial" w:cs="Arial" w:eastAsia="Arial" w:hAnsi="Arial"/>
          <w:sz w:val="24"/>
          <w:szCs w:val="24"/>
        </w:rPr>
        <w:t> las mujeres en razón de género, de violencia familiar y por delitos que atenten contra</w:t>
      </w:r>
      <w:r>
        <w:rPr>
          <w:rFonts w:ascii="Arial" w:cs="Arial" w:eastAsia="Arial" w:hAnsi="Arial"/>
          <w:sz w:val="24"/>
          <w:szCs w:val="24"/>
        </w:rPr>
        <w:t> la obligación alimentaria, en los términos del Artículo 38 de la CPEUM.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VIII.    No  podrán  postularse  personas  que  desempeñen  cargos  diplomáticos  o</w:t>
      </w:r>
      <w:r>
        <w:rPr>
          <w:rFonts w:ascii="Arial" w:cs="Arial" w:eastAsia="Arial" w:hAnsi="Arial"/>
          <w:sz w:val="24"/>
          <w:szCs w:val="24"/>
        </w:rPr>
        <w:t> desempeñen labores en sedes diplomáticas o consulares sino hasta después de</w:t>
      </w:r>
      <w:r>
        <w:rPr>
          <w:rFonts w:ascii="Arial" w:cs="Arial" w:eastAsia="Arial" w:hAnsi="Arial"/>
          <w:sz w:val="24"/>
          <w:szCs w:val="24"/>
        </w:rPr>
        <w:t> transcurridos dos años de haberse separado de su cargo.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IX.      No haber sido persona condenada, o sancionada mediante Resolución firme</w:t>
      </w:r>
      <w:r>
        <w:rPr>
          <w:rFonts w:ascii="Arial" w:cs="Arial" w:eastAsia="Arial" w:hAnsi="Arial"/>
          <w:sz w:val="24"/>
          <w:szCs w:val="24"/>
        </w:rPr>
        <w:t> por delitos sexuales, contra la libertad sexual o la intimidad corporal, ni en México</w:t>
      </w:r>
      <w:r>
        <w:rPr>
          <w:rFonts w:ascii="Arial" w:cs="Arial" w:eastAsia="Arial" w:hAnsi="Arial"/>
          <w:sz w:val="24"/>
          <w:szCs w:val="24"/>
        </w:rPr>
        <w:t> ni en el país de residencia.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02" w:right="85"/>
      </w:pPr>
      <w:r>
        <w:rPr>
          <w:rFonts w:ascii="Arial" w:cs="Arial" w:eastAsia="Arial" w:hAnsi="Arial"/>
          <w:sz w:val="24"/>
          <w:szCs w:val="24"/>
        </w:rPr>
        <w:t>X.       No encontrarse activo o activa en el Registro de Personas Sancionadas por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408"/>
      </w:pPr>
      <w:r>
        <w:rPr>
          <w:rFonts w:ascii="Arial" w:cs="Arial" w:eastAsia="Arial" w:hAnsi="Arial"/>
          <w:sz w:val="24"/>
          <w:szCs w:val="24"/>
        </w:rPr>
        <w:t>Violencia Política contra las mujeres en Razón de Género del Instituto.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00" w:lineRule="atLeast"/>
        <w:ind w:left="102" w:right="79"/>
      </w:pPr>
      <w:r>
        <w:rPr>
          <w:rFonts w:ascii="Arial" w:cs="Arial" w:eastAsia="Arial" w:hAnsi="Arial"/>
          <w:sz w:val="24"/>
          <w:szCs w:val="24"/>
        </w:rPr>
        <w:t>Los partidos políticos, conforme al artículo 185, inciso b), fracción II de la LIPEEO,</w:t>
      </w:r>
      <w:r>
        <w:rPr>
          <w:rFonts w:ascii="Arial" w:cs="Arial" w:eastAsia="Arial" w:hAnsi="Arial"/>
          <w:sz w:val="24"/>
          <w:szCs w:val="24"/>
        </w:rPr>
        <w:t> solicitarán el registro de la candidatura a la diputación migrante o binacional por el</w:t>
      </w:r>
      <w:r>
        <w:rPr>
          <w:rFonts w:ascii="Arial" w:cs="Arial" w:eastAsia="Arial" w:hAnsi="Arial"/>
          <w:sz w:val="24"/>
          <w:szCs w:val="24"/>
        </w:rPr>
        <w:t> principio de representación proporcional ante el Consejo General dentro del plazo</w:t>
      </w:r>
      <w:r>
        <w:rPr>
          <w:rFonts w:ascii="Arial" w:cs="Arial" w:eastAsia="Arial" w:hAnsi="Arial"/>
          <w:sz w:val="24"/>
          <w:szCs w:val="24"/>
        </w:rPr>
        <w:t> que para tal efecto establezca el Instituto.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10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6" type="#_x0000_t75">
            <v:imagedata o:title="" r:id="rId14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7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Conforme al Artículo 186 de la LIPEEO, la solicitud de registro de la candidatura a</w:t>
      </w:r>
      <w:r>
        <w:rPr>
          <w:rFonts w:ascii="Arial" w:cs="Arial" w:eastAsia="Arial" w:hAnsi="Arial"/>
          <w:sz w:val="24"/>
          <w:szCs w:val="24"/>
        </w:rPr>
        <w:t> la diputación migrante o binacional deberá especificar la siguiente información: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a)       Apellido  paterno,  apellido  materno  y  nombre  completo  y,  en  su  caso,  el</w:t>
      </w:r>
      <w:r>
        <w:rPr>
          <w:rFonts w:ascii="Arial" w:cs="Arial" w:eastAsia="Arial" w:hAnsi="Arial"/>
          <w:sz w:val="24"/>
          <w:szCs w:val="24"/>
        </w:rPr>
        <w:t> sobrenombre con el que pretenda aparecer en la boleta electoral;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/>
        <w:ind w:left="102" w:right="3882"/>
      </w:pPr>
      <w:r>
        <w:rPr>
          <w:rFonts w:ascii="Arial" w:cs="Arial" w:eastAsia="Arial" w:hAnsi="Arial"/>
          <w:sz w:val="24"/>
          <w:szCs w:val="24"/>
        </w:rPr>
        <w:t>b)       Edad, sexo, lugar y fecha de nacimiento;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3340"/>
      </w:pPr>
      <w:r>
        <w:rPr>
          <w:rFonts w:ascii="Arial" w:cs="Arial" w:eastAsia="Arial" w:hAnsi="Arial"/>
          <w:sz w:val="24"/>
          <w:szCs w:val="24"/>
        </w:rPr>
        <w:t>c)        Domicilio y tiempo de residencia en el mismo;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6999"/>
      </w:pPr>
      <w:r>
        <w:rPr>
          <w:rFonts w:ascii="Arial" w:cs="Arial" w:eastAsia="Arial" w:hAnsi="Arial"/>
          <w:sz w:val="24"/>
          <w:szCs w:val="24"/>
        </w:rPr>
        <w:t>d)       Ocupación;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4632"/>
      </w:pPr>
      <w:r>
        <w:rPr>
          <w:rFonts w:ascii="Arial" w:cs="Arial" w:eastAsia="Arial" w:hAnsi="Arial"/>
          <w:sz w:val="24"/>
          <w:szCs w:val="24"/>
        </w:rPr>
        <w:t>e)       Clave de la credencial para votar;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4812"/>
      </w:pPr>
      <w:r>
        <w:rPr>
          <w:rFonts w:ascii="Arial" w:cs="Arial" w:eastAsia="Arial" w:hAnsi="Arial"/>
          <w:sz w:val="24"/>
          <w:szCs w:val="24"/>
        </w:rPr>
        <w:t>f)        Cargo para el que se le postule;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 w:line="275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g)       En caso de ser una candidatura postulada para un período consecutivo en</w:t>
      </w:r>
      <w:r>
        <w:rPr>
          <w:rFonts w:ascii="Arial" w:cs="Arial" w:eastAsia="Arial" w:hAnsi="Arial"/>
          <w:sz w:val="24"/>
          <w:szCs w:val="24"/>
        </w:rPr>
        <w:t> sus cargos, deberán acompañar una carta que especifique los periodos para los</w:t>
      </w:r>
      <w:r>
        <w:rPr>
          <w:rFonts w:ascii="Arial" w:cs="Arial" w:eastAsia="Arial" w:hAnsi="Arial"/>
          <w:sz w:val="24"/>
          <w:szCs w:val="24"/>
        </w:rPr>
        <w:t> que han sido electos en ese cargo y la manifestación de estar cumpliendo los límites</w:t>
      </w:r>
      <w:r>
        <w:rPr>
          <w:rFonts w:ascii="Arial" w:cs="Arial" w:eastAsia="Arial" w:hAnsi="Arial"/>
          <w:sz w:val="24"/>
          <w:szCs w:val="24"/>
        </w:rPr>
        <w:t> establecidos por la Constitución Local en materia de elección consecutiva.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La  solicitud  de  registro  de  la  candidatura  a  la  diputación  migrante  o  binacional</w:t>
      </w:r>
      <w:r>
        <w:rPr>
          <w:rFonts w:ascii="Arial" w:cs="Arial" w:eastAsia="Arial" w:hAnsi="Arial"/>
          <w:sz w:val="24"/>
          <w:szCs w:val="24"/>
        </w:rPr>
        <w:t> deberá acompañarse de la siguiente documentación: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a)       Declaración, bajo protesta de decir verdad, de aceptación de la candidatura</w:t>
      </w:r>
      <w:r>
        <w:rPr>
          <w:rFonts w:ascii="Arial" w:cs="Arial" w:eastAsia="Arial" w:hAnsi="Arial"/>
          <w:sz w:val="24"/>
          <w:szCs w:val="24"/>
        </w:rPr>
        <w:t> y que cumple con los requisitos de elegibilidad;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/>
        <w:ind w:left="102" w:right="5051"/>
      </w:pPr>
      <w:r>
        <w:rPr>
          <w:rFonts w:ascii="Arial" w:cs="Arial" w:eastAsia="Arial" w:hAnsi="Arial"/>
          <w:sz w:val="24"/>
          <w:szCs w:val="24"/>
        </w:rPr>
        <w:t>b)       Copia del acta de nacimiento;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77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c)        Copia del anverso y reverso de la credencial para votar con fotografía vigente</w:t>
      </w:r>
      <w:r>
        <w:rPr>
          <w:rFonts w:ascii="Arial" w:cs="Arial" w:eastAsia="Arial" w:hAnsi="Arial"/>
          <w:sz w:val="24"/>
          <w:szCs w:val="24"/>
        </w:rPr>
        <w:t> y legible;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93"/>
      </w:pPr>
      <w:r>
        <w:rPr>
          <w:rFonts w:ascii="Arial" w:cs="Arial" w:eastAsia="Arial" w:hAnsi="Arial"/>
          <w:sz w:val="24"/>
          <w:szCs w:val="24"/>
        </w:rPr>
        <w:t>d)       En  su  caso,  el  original  de  la  constancia  de  residencia  que  precise  la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828"/>
      </w:pPr>
      <w:r>
        <w:rPr>
          <w:rFonts w:ascii="Arial" w:cs="Arial" w:eastAsia="Arial" w:hAnsi="Arial"/>
          <w:sz w:val="24"/>
          <w:szCs w:val="24"/>
        </w:rPr>
        <w:t>antigüedad, que deberá ser expedida por la autoridad competente.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306"/>
      </w:pPr>
      <w:r>
        <w:rPr>
          <w:rFonts w:ascii="Arial" w:cs="Arial" w:eastAsia="Arial" w:hAnsi="Arial"/>
          <w:sz w:val="24"/>
          <w:szCs w:val="24"/>
        </w:rPr>
        <w:t>e)       Las documentales que acrediten al menos una de las siguientes acciones: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tabs>
          <w:tab w:pos="1500" w:val="left"/>
        </w:tabs>
        <w:jc w:val="both"/>
        <w:spacing w:line="275" w:lineRule="auto"/>
        <w:ind w:hanging="12" w:left="822" w:right="839"/>
      </w:pPr>
      <w:r>
        <w:rPr>
          <w:rFonts w:ascii="Arial" w:cs="Arial" w:eastAsia="Arial" w:hAnsi="Arial"/>
          <w:sz w:val="24"/>
          <w:szCs w:val="24"/>
        </w:rPr>
        <w:t>I.</w:t>
        <w:tab/>
      </w:r>
      <w:r>
        <w:rPr>
          <w:rFonts w:ascii="Arial" w:cs="Arial" w:eastAsia="Arial" w:hAnsi="Arial"/>
          <w:sz w:val="24"/>
          <w:szCs w:val="24"/>
        </w:rPr>
        <w:t>Haber   realizado   acciones   de   promoción   de   actividades</w:t>
      </w:r>
      <w:r>
        <w:rPr>
          <w:rFonts w:ascii="Arial" w:cs="Arial" w:eastAsia="Arial" w:hAnsi="Arial"/>
          <w:sz w:val="24"/>
          <w:szCs w:val="24"/>
        </w:rPr>
        <w:t> comunitarias o culturales entre la comunidad migrante, por lo menos</w:t>
      </w:r>
      <w:r>
        <w:rPr>
          <w:rFonts w:ascii="Arial" w:cs="Arial" w:eastAsia="Arial" w:hAnsi="Arial"/>
          <w:sz w:val="24"/>
          <w:szCs w:val="24"/>
        </w:rPr>
        <w:t> con dos años de anterioridad a la postulación;</w:t>
      </w:r>
    </w:p>
    <w:p>
      <w:pPr>
        <w:rPr>
          <w:rFonts w:ascii="Arial" w:cs="Arial" w:eastAsia="Arial" w:hAnsi="Arial"/>
          <w:sz w:val="24"/>
          <w:szCs w:val="24"/>
        </w:rPr>
        <w:tabs>
          <w:tab w:pos="1500" w:val="left"/>
        </w:tabs>
        <w:jc w:val="both"/>
        <w:spacing w:before="1" w:line="276" w:lineRule="auto"/>
        <w:ind w:hanging="12" w:left="822" w:right="842"/>
      </w:pPr>
      <w:r>
        <w:rPr>
          <w:rFonts w:ascii="Arial" w:cs="Arial" w:eastAsia="Arial" w:hAnsi="Arial"/>
          <w:sz w:val="24"/>
          <w:szCs w:val="24"/>
        </w:rPr>
        <w:t>II.</w:t>
        <w:tab/>
      </w:r>
      <w:r>
        <w:rPr>
          <w:rFonts w:ascii="Arial" w:cs="Arial" w:eastAsia="Arial" w:hAnsi="Arial"/>
          <w:sz w:val="24"/>
          <w:szCs w:val="24"/>
        </w:rPr>
        <w:t>Su   vinculación   con   el   desarrollo   según   sea   el   caso   en</w:t>
      </w:r>
      <w:r>
        <w:rPr>
          <w:rFonts w:ascii="Arial" w:cs="Arial" w:eastAsia="Arial" w:hAnsi="Arial"/>
          <w:sz w:val="24"/>
          <w:szCs w:val="24"/>
        </w:rPr>
        <w:t> inversiones productivas, proyectos comunitarios y/o participación en</w:t>
      </w:r>
      <w:r>
        <w:rPr>
          <w:rFonts w:ascii="Arial" w:cs="Arial" w:eastAsia="Arial" w:hAnsi="Arial"/>
          <w:sz w:val="24"/>
          <w:szCs w:val="24"/>
        </w:rPr>
        <w:t> beneficio de la comunidad oaxaqueña establecida fuera del territorio</w:t>
      </w:r>
      <w:r>
        <w:rPr>
          <w:rFonts w:ascii="Arial" w:cs="Arial" w:eastAsia="Arial" w:hAnsi="Arial"/>
          <w:sz w:val="24"/>
          <w:szCs w:val="24"/>
        </w:rPr>
        <w:t> nacional;</w:t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810" w:right="844"/>
      </w:pPr>
      <w:r>
        <w:rPr>
          <w:rFonts w:ascii="Arial" w:cs="Arial" w:eastAsia="Arial" w:hAnsi="Arial"/>
          <w:sz w:val="24"/>
          <w:szCs w:val="24"/>
        </w:rPr>
        <w:t>III.       Que haya impulsado y/o promovido la defensa de los derechos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 w:line="260" w:lineRule="exact"/>
        <w:ind w:left="822" w:right="6373"/>
      </w:pPr>
      <w:r>
        <w:rPr>
          <w:rFonts w:ascii="Arial" w:cs="Arial" w:eastAsia="Arial" w:hAnsi="Arial"/>
          <w:position w:val="-1"/>
          <w:sz w:val="24"/>
          <w:szCs w:val="24"/>
        </w:rPr>
        <w:t>de los migrantes.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11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5" type="#_x0000_t75">
            <v:imagedata o:title="" r:id="rId15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3372"/>
      </w:pPr>
      <w:r>
        <w:rPr>
          <w:rFonts w:ascii="Arial" w:cs="Arial" w:eastAsia="Arial" w:hAnsi="Arial"/>
          <w:sz w:val="24"/>
          <w:szCs w:val="24"/>
        </w:rPr>
        <w:t>f)        Declaración bajo protesta de decir verdad de: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 w:line="275" w:lineRule="auto"/>
        <w:ind w:left="860" w:right="802"/>
      </w:pPr>
      <w:r>
        <w:rPr>
          <w:rFonts w:ascii="Arial" w:cs="Arial" w:eastAsia="Arial" w:hAnsi="Arial"/>
          <w:sz w:val="24"/>
          <w:szCs w:val="24"/>
        </w:rPr>
        <w:t>I.        No estar sancionada o sancionado por violencia política contra</w:t>
      </w:r>
      <w:r>
        <w:rPr>
          <w:rFonts w:ascii="Arial" w:cs="Arial" w:eastAsia="Arial" w:hAnsi="Arial"/>
          <w:sz w:val="24"/>
          <w:szCs w:val="24"/>
        </w:rPr>
        <w:t> las  mujeres  en  razón  de  género,  ni  en  México  ni  en  el  país  de</w:t>
      </w:r>
      <w:r>
        <w:rPr>
          <w:rFonts w:ascii="Arial" w:cs="Arial" w:eastAsia="Arial" w:hAnsi="Arial"/>
          <w:sz w:val="24"/>
          <w:szCs w:val="24"/>
        </w:rPr>
        <w:t> residencia.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860" w:right="801"/>
      </w:pPr>
      <w:r>
        <w:rPr>
          <w:rFonts w:ascii="Arial" w:cs="Arial" w:eastAsia="Arial" w:hAnsi="Arial"/>
          <w:sz w:val="24"/>
          <w:szCs w:val="24"/>
        </w:rPr>
        <w:t>II.       No estar sentenciada o sentenciado por los delitos de violencia</w:t>
      </w:r>
      <w:r>
        <w:rPr>
          <w:rFonts w:ascii="Arial" w:cs="Arial" w:eastAsia="Arial" w:hAnsi="Arial"/>
          <w:sz w:val="24"/>
          <w:szCs w:val="24"/>
        </w:rPr>
        <w:t> política contra las mujeres en razón de género, de violencia familiar y</w:t>
      </w:r>
      <w:r>
        <w:rPr>
          <w:rFonts w:ascii="Arial" w:cs="Arial" w:eastAsia="Arial" w:hAnsi="Arial"/>
          <w:sz w:val="24"/>
          <w:szCs w:val="24"/>
        </w:rPr>
        <w:t> por  delitos  que  atenten  contra  la  obligación  alimentaria,  en  los</w:t>
      </w:r>
      <w:r>
        <w:rPr>
          <w:rFonts w:ascii="Arial" w:cs="Arial" w:eastAsia="Arial" w:hAnsi="Arial"/>
          <w:sz w:val="24"/>
          <w:szCs w:val="24"/>
        </w:rPr>
        <w:t> términos del Artículo 38 de la CPEUM.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860" w:right="804"/>
      </w:pPr>
      <w:r>
        <w:rPr>
          <w:rFonts w:ascii="Arial" w:cs="Arial" w:eastAsia="Arial" w:hAnsi="Arial"/>
          <w:sz w:val="24"/>
          <w:szCs w:val="24"/>
        </w:rPr>
        <w:t>III.      No  haber  desempeñado  cargos  diplomáticos  o  labores  en</w:t>
      </w:r>
      <w:r>
        <w:rPr>
          <w:rFonts w:ascii="Arial" w:cs="Arial" w:eastAsia="Arial" w:hAnsi="Arial"/>
          <w:sz w:val="24"/>
          <w:szCs w:val="24"/>
        </w:rPr>
        <w:t> sedes diplomáticas o consulares en los últimos dos años previos al</w:t>
      </w:r>
      <w:r>
        <w:rPr>
          <w:rFonts w:ascii="Arial" w:cs="Arial" w:eastAsia="Arial" w:hAnsi="Arial"/>
          <w:sz w:val="24"/>
          <w:szCs w:val="24"/>
        </w:rPr>
        <w:t> día de la elección.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860" w:right="803"/>
      </w:pPr>
      <w:r>
        <w:rPr>
          <w:rFonts w:ascii="Arial" w:cs="Arial" w:eastAsia="Arial" w:hAnsi="Arial"/>
          <w:sz w:val="24"/>
          <w:szCs w:val="24"/>
        </w:rPr>
        <w:t>IV.     No  haber  sido  persona  condenada,  o  sancionada  mediante</w:t>
      </w:r>
      <w:r>
        <w:rPr>
          <w:rFonts w:ascii="Arial" w:cs="Arial" w:eastAsia="Arial" w:hAnsi="Arial"/>
          <w:sz w:val="24"/>
          <w:szCs w:val="24"/>
        </w:rPr>
        <w:t> resolución  firme  por  delitos  sexuales,  contra  la  libertad  sexual  o  la</w:t>
      </w:r>
      <w:r>
        <w:rPr>
          <w:rFonts w:ascii="Arial" w:cs="Arial" w:eastAsia="Arial" w:hAnsi="Arial"/>
          <w:sz w:val="24"/>
          <w:szCs w:val="24"/>
        </w:rPr>
        <w:t> intimidad corporal, ni en México ni en el país de residencia.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75" w:lineRule="auto"/>
        <w:ind w:left="860" w:right="803"/>
      </w:pPr>
      <w:r>
        <w:rPr>
          <w:rFonts w:ascii="Arial" w:cs="Arial" w:eastAsia="Arial" w:hAnsi="Arial"/>
          <w:sz w:val="24"/>
          <w:szCs w:val="24"/>
        </w:rPr>
        <w:t>V.  No  encontrarse  activo  o  activa  en  el  Registro  de  Personas</w:t>
      </w:r>
      <w:r>
        <w:rPr>
          <w:rFonts w:ascii="Arial" w:cs="Arial" w:eastAsia="Arial" w:hAnsi="Arial"/>
          <w:sz w:val="24"/>
          <w:szCs w:val="24"/>
        </w:rPr>
        <w:t> Sancionadas por Violencia Política contra las mujeres en Razón de</w:t>
      </w:r>
      <w:r>
        <w:rPr>
          <w:rFonts w:ascii="Arial" w:cs="Arial" w:eastAsia="Arial" w:hAnsi="Arial"/>
          <w:sz w:val="24"/>
          <w:szCs w:val="24"/>
        </w:rPr>
        <w:t> Género del Instituto.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g)       El formulario de registro impreso y el informe de capacidad económica con</w:t>
      </w:r>
      <w:r>
        <w:rPr>
          <w:rFonts w:ascii="Arial" w:cs="Arial" w:eastAsia="Arial" w:hAnsi="Arial"/>
          <w:sz w:val="24"/>
          <w:szCs w:val="24"/>
        </w:rPr>
        <w:t> firma autógrafa generados por el Sistema Nacional de Registro de Precandidatos y</w:t>
      </w:r>
      <w:r>
        <w:rPr>
          <w:rFonts w:ascii="Arial" w:cs="Arial" w:eastAsia="Arial" w:hAnsi="Arial"/>
          <w:sz w:val="24"/>
          <w:szCs w:val="24"/>
        </w:rPr>
        <w:t> Candidatos del INE.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h)       De ser el caso, original del formulario de ingreso a  la Red de Candidatas</w:t>
      </w:r>
      <w:r>
        <w:rPr>
          <w:rFonts w:ascii="Arial" w:cs="Arial" w:eastAsia="Arial" w:hAnsi="Arial"/>
          <w:sz w:val="24"/>
          <w:szCs w:val="24"/>
        </w:rPr>
        <w:t> debidamente requisitado y firmado.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18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Para efectos del artículo anterior, se considerarán, de forma enunciativa  mas no</w:t>
      </w:r>
      <w:r>
        <w:rPr>
          <w:rFonts w:ascii="Arial" w:cs="Arial" w:eastAsia="Arial" w:hAnsi="Arial"/>
          <w:sz w:val="24"/>
          <w:szCs w:val="24"/>
        </w:rPr>
        <w:t> limitativa,  actividades  en  favor  de  las  personas  migrantes  y  sus  familias  las</w:t>
      </w:r>
      <w:r>
        <w:rPr>
          <w:rFonts w:ascii="Arial" w:cs="Arial" w:eastAsia="Arial" w:hAnsi="Arial"/>
          <w:sz w:val="24"/>
          <w:szCs w:val="24"/>
        </w:rPr>
        <w:t> siguientes: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436" w:right="649"/>
      </w:pPr>
      <w:r>
        <w:rPr>
          <w:rFonts w:ascii="Arial" w:cs="Arial" w:eastAsia="Arial" w:hAnsi="Arial"/>
          <w:sz w:val="24"/>
          <w:szCs w:val="24"/>
        </w:rPr>
        <w:t>I. Asistencia social, conforme a lo establecido en la Ley de Asistencia Social</w:t>
      </w:r>
      <w:r>
        <w:rPr>
          <w:rFonts w:ascii="Arial" w:cs="Arial" w:eastAsia="Arial" w:hAnsi="Arial"/>
          <w:sz w:val="24"/>
          <w:szCs w:val="24"/>
        </w:rPr>
        <w:t> y en la Ley General de Salud;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/>
        <w:ind w:left="436"/>
      </w:pPr>
      <w:r>
        <w:rPr>
          <w:rFonts w:ascii="Arial" w:cs="Arial" w:eastAsia="Arial" w:hAnsi="Arial"/>
          <w:sz w:val="24"/>
          <w:szCs w:val="24"/>
        </w:rPr>
        <w:t>II. Apoyo a la alimentación popular;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75" w:lineRule="auto"/>
        <w:ind w:left="436" w:right="652"/>
      </w:pPr>
      <w:r>
        <w:rPr>
          <w:rFonts w:ascii="Arial" w:cs="Arial" w:eastAsia="Arial" w:hAnsi="Arial"/>
          <w:sz w:val="24"/>
          <w:szCs w:val="24"/>
        </w:rPr>
        <w:t>III. Cívicas, enfocadas a promover la participación ciudadana en asuntos</w:t>
      </w:r>
      <w:r>
        <w:rPr>
          <w:rFonts w:ascii="Arial" w:cs="Arial" w:eastAsia="Arial" w:hAnsi="Arial"/>
          <w:sz w:val="24"/>
          <w:szCs w:val="24"/>
        </w:rPr>
        <w:t> de interés público;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"/>
        <w:ind w:left="436"/>
      </w:pPr>
      <w:r>
        <w:rPr>
          <w:rFonts w:ascii="Arial" w:cs="Arial" w:eastAsia="Arial" w:hAnsi="Arial"/>
          <w:sz w:val="24"/>
          <w:szCs w:val="24"/>
        </w:rPr>
        <w:t>IV. Asistencia jurídica;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9" w:line="300" w:lineRule="atLeast"/>
        <w:ind w:left="436" w:right="1227"/>
      </w:pPr>
      <w:r>
        <w:rPr>
          <w:rFonts w:ascii="Arial" w:cs="Arial" w:eastAsia="Arial" w:hAnsi="Arial"/>
          <w:sz w:val="24"/>
          <w:szCs w:val="24"/>
        </w:rPr>
        <w:t>V. Apoyo para el desarrollo de los pueblos y comunidades indígenas;</w:t>
      </w:r>
      <w:r>
        <w:rPr>
          <w:rFonts w:ascii="Arial" w:cs="Arial" w:eastAsia="Arial" w:hAnsi="Arial"/>
          <w:sz w:val="24"/>
          <w:szCs w:val="24"/>
        </w:rPr>
        <w:t> VI. Promoción de la igualdad de género;</w:t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12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4" type="#_x0000_t75">
            <v:imagedata o:title="" r:id="rId16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7" w:lineRule="auto"/>
        <w:ind w:left="668" w:right="419"/>
      </w:pPr>
      <w:r>
        <w:rPr>
          <w:rFonts w:ascii="Arial" w:cs="Arial" w:eastAsia="Arial" w:hAnsi="Arial"/>
          <w:sz w:val="24"/>
          <w:szCs w:val="24"/>
        </w:rPr>
        <w:t>VII.  Aportación  de  servicios  para  la  atención  a  grupos  sociales  con</w:t>
      </w:r>
      <w:r>
        <w:rPr>
          <w:rFonts w:ascii="Arial" w:cs="Arial" w:eastAsia="Arial" w:hAnsi="Arial"/>
          <w:sz w:val="24"/>
          <w:szCs w:val="24"/>
        </w:rPr>
        <w:t> discapacidad;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668" w:right="1421"/>
      </w:pPr>
      <w:r>
        <w:rPr>
          <w:rFonts w:ascii="Arial" w:cs="Arial" w:eastAsia="Arial" w:hAnsi="Arial"/>
          <w:sz w:val="24"/>
          <w:szCs w:val="24"/>
        </w:rPr>
        <w:t>VIII. Apoyo en la defensa y promoción de los derechos humanos;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668" w:right="5515"/>
      </w:pPr>
      <w:r>
        <w:rPr>
          <w:rFonts w:ascii="Arial" w:cs="Arial" w:eastAsia="Arial" w:hAnsi="Arial"/>
          <w:sz w:val="24"/>
          <w:szCs w:val="24"/>
        </w:rPr>
        <w:t>IX. Promoción del deporte;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77" w:lineRule="auto"/>
        <w:ind w:left="668" w:right="418"/>
      </w:pPr>
      <w:r>
        <w:rPr>
          <w:rFonts w:ascii="Arial" w:cs="Arial" w:eastAsia="Arial" w:hAnsi="Arial"/>
          <w:sz w:val="24"/>
          <w:szCs w:val="24"/>
        </w:rPr>
        <w:t>X.  Promoción  y  aportación  de  servicios  para  la  atención  de  la  salud  y</w:t>
      </w:r>
      <w:r>
        <w:rPr>
          <w:rFonts w:ascii="Arial" w:cs="Arial" w:eastAsia="Arial" w:hAnsi="Arial"/>
          <w:sz w:val="24"/>
          <w:szCs w:val="24"/>
        </w:rPr>
        <w:t> cuestiones sanitarias;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668" w:right="422"/>
      </w:pPr>
      <w:r>
        <w:rPr>
          <w:rFonts w:ascii="Arial" w:cs="Arial" w:eastAsia="Arial" w:hAnsi="Arial"/>
          <w:sz w:val="24"/>
          <w:szCs w:val="24"/>
        </w:rPr>
        <w:t>XI. Apoyo en el aprovechamiento de los recursos naturales, la protección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 w:line="275" w:lineRule="auto"/>
        <w:ind w:left="668" w:right="416"/>
      </w:pPr>
      <w:r>
        <w:rPr>
          <w:rFonts w:ascii="Arial" w:cs="Arial" w:eastAsia="Arial" w:hAnsi="Arial"/>
          <w:sz w:val="24"/>
          <w:szCs w:val="24"/>
        </w:rPr>
        <w:t>del ambiente, la flora y la fauna, la preservación y restauración del equilibrio</w:t>
      </w:r>
      <w:r>
        <w:rPr>
          <w:rFonts w:ascii="Arial" w:cs="Arial" w:eastAsia="Arial" w:hAnsi="Arial"/>
          <w:sz w:val="24"/>
          <w:szCs w:val="24"/>
        </w:rPr>
        <w:t> ecológico, así como la promoción del desarrollo sustentable a nivel regional</w:t>
      </w:r>
      <w:r>
        <w:rPr>
          <w:rFonts w:ascii="Arial" w:cs="Arial" w:eastAsia="Arial" w:hAnsi="Arial"/>
          <w:sz w:val="24"/>
          <w:szCs w:val="24"/>
        </w:rPr>
        <w:t> y comunitario, de las zonas urbanas y rurales;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275" w:lineRule="auto"/>
        <w:ind w:left="668" w:right="418"/>
      </w:pPr>
      <w:r>
        <w:rPr>
          <w:rFonts w:ascii="Arial" w:cs="Arial" w:eastAsia="Arial" w:hAnsi="Arial"/>
          <w:sz w:val="24"/>
          <w:szCs w:val="24"/>
        </w:rPr>
        <w:t>XII.   Promoción   y   fomento   educativo,   cultural,   artístico,   científico   y</w:t>
      </w:r>
      <w:r>
        <w:rPr>
          <w:rFonts w:ascii="Arial" w:cs="Arial" w:eastAsia="Arial" w:hAnsi="Arial"/>
          <w:sz w:val="24"/>
          <w:szCs w:val="24"/>
        </w:rPr>
        <w:t> tecnológico;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1" w:line="275" w:lineRule="auto"/>
        <w:ind w:left="668" w:right="1827"/>
      </w:pPr>
      <w:r>
        <w:rPr>
          <w:rFonts w:ascii="Arial" w:cs="Arial" w:eastAsia="Arial" w:hAnsi="Arial"/>
          <w:sz w:val="24"/>
          <w:szCs w:val="24"/>
        </w:rPr>
        <w:t>XIII. Fomento de acciones para mejorar la economía popular;</w:t>
      </w:r>
      <w:r>
        <w:rPr>
          <w:rFonts w:ascii="Arial" w:cs="Arial" w:eastAsia="Arial" w:hAnsi="Arial"/>
          <w:sz w:val="24"/>
          <w:szCs w:val="24"/>
        </w:rPr>
        <w:t> XIV. Participación en acciones de protección civil;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3" w:line="275" w:lineRule="auto"/>
        <w:ind w:left="668" w:right="416"/>
      </w:pPr>
      <w:r>
        <w:rPr>
          <w:rFonts w:ascii="Arial" w:cs="Arial" w:eastAsia="Arial" w:hAnsi="Arial"/>
          <w:sz w:val="24"/>
          <w:szCs w:val="24"/>
        </w:rPr>
        <w:t>XV.  Prestación  de  servicios  de  apoyo  a  la  creación  y  fortalecimiento  de</w:t>
      </w:r>
      <w:r>
        <w:rPr>
          <w:rFonts w:ascii="Arial" w:cs="Arial" w:eastAsia="Arial" w:hAnsi="Arial"/>
          <w:sz w:val="24"/>
          <w:szCs w:val="24"/>
        </w:rPr>
        <w:t> organizaciones sociales;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"/>
        <w:ind w:left="668" w:right="1490"/>
      </w:pPr>
      <w:r>
        <w:rPr>
          <w:rFonts w:ascii="Arial" w:cs="Arial" w:eastAsia="Arial" w:hAnsi="Arial"/>
          <w:sz w:val="24"/>
          <w:szCs w:val="24"/>
        </w:rPr>
        <w:t>XVI. Promoción y defensa de los derechos de los consumidores;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277" w:lineRule="auto"/>
        <w:ind w:left="668" w:right="420"/>
      </w:pPr>
      <w:r>
        <w:rPr>
          <w:rFonts w:ascii="Arial" w:cs="Arial" w:eastAsia="Arial" w:hAnsi="Arial"/>
          <w:sz w:val="24"/>
          <w:szCs w:val="24"/>
        </w:rPr>
        <w:t>XVII.  Acciones  que  promuevan  el  fortalecimiento  del  tejido  social  y  la</w:t>
      </w:r>
      <w:r>
        <w:rPr>
          <w:rFonts w:ascii="Arial" w:cs="Arial" w:eastAsia="Arial" w:hAnsi="Arial"/>
          <w:sz w:val="24"/>
          <w:szCs w:val="24"/>
        </w:rPr>
        <w:t> seguridad ciudadana,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668" w:right="4870"/>
      </w:pPr>
      <w:r>
        <w:rPr>
          <w:rFonts w:ascii="Arial" w:cs="Arial" w:eastAsia="Arial" w:hAnsi="Arial"/>
          <w:sz w:val="24"/>
          <w:szCs w:val="24"/>
        </w:rPr>
        <w:t>XVIII. Actividades académicas, y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668" w:right="4421"/>
      </w:pPr>
      <w:r>
        <w:rPr>
          <w:rFonts w:ascii="Arial" w:cs="Arial" w:eastAsia="Arial" w:hAnsi="Arial"/>
          <w:sz w:val="24"/>
          <w:szCs w:val="24"/>
        </w:rPr>
        <w:t>XIX. Las que determinen otras leyes.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87"/>
      </w:pPr>
      <w:r>
        <w:rPr>
          <w:rFonts w:ascii="Arial" w:cs="Arial" w:eastAsia="Arial" w:hAnsi="Arial"/>
          <w:sz w:val="24"/>
          <w:szCs w:val="24"/>
        </w:rPr>
        <w:t>Las  actividades  no  enunciadas,  serán  consideradas  y  valoradas  por  el  Consejo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7993"/>
      </w:pPr>
      <w:r>
        <w:rPr>
          <w:rFonts w:ascii="Arial" w:cs="Arial" w:eastAsia="Arial" w:hAnsi="Arial"/>
          <w:sz w:val="24"/>
          <w:szCs w:val="24"/>
        </w:rPr>
        <w:t>General.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19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De  conformidad  con  lo  dispuesto  en  el  artículo  50  de  la  LIPEEO,  la  DEPPPyCI</w:t>
      </w:r>
      <w:r>
        <w:rPr>
          <w:rFonts w:ascii="Arial" w:cs="Arial" w:eastAsia="Arial" w:hAnsi="Arial"/>
          <w:sz w:val="24"/>
          <w:szCs w:val="24"/>
        </w:rPr>
        <w:t> revisará  las  solicitudes  de  registro  de  candidaturas  a  la  diputación  migrante  o</w:t>
      </w:r>
      <w:r>
        <w:rPr>
          <w:rFonts w:ascii="Arial" w:cs="Arial" w:eastAsia="Arial" w:hAnsi="Arial"/>
          <w:sz w:val="24"/>
          <w:szCs w:val="24"/>
        </w:rPr>
        <w:t> binacional que presenten los partidos políticos e integrará el expediente respectivo;</w:t>
      </w:r>
      <w:r>
        <w:rPr>
          <w:rFonts w:ascii="Arial" w:cs="Arial" w:eastAsia="Arial" w:hAnsi="Arial"/>
          <w:sz w:val="24"/>
          <w:szCs w:val="24"/>
        </w:rPr>
        <w:t> verificando el cumplimiento de los requisitos legales. De ser el caso realizará los</w:t>
      </w:r>
      <w:r>
        <w:rPr>
          <w:rFonts w:ascii="Arial" w:cs="Arial" w:eastAsia="Arial" w:hAnsi="Arial"/>
          <w:sz w:val="24"/>
          <w:szCs w:val="24"/>
        </w:rPr>
        <w:t> requerimientos y apercibimientos necesarios a que haya lugar.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En  caso  de  que  un  partido  político  no  haya  registrado  la  fórmula  de  diputación</w:t>
      </w:r>
      <w:r>
        <w:rPr>
          <w:rFonts w:ascii="Arial" w:cs="Arial" w:eastAsia="Arial" w:hAnsi="Arial"/>
          <w:sz w:val="24"/>
          <w:szCs w:val="24"/>
        </w:rPr>
        <w:t> migrante o binacional, el IEEPCO a través de la DEPPPyCI, lo requerirá para que,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60" w:lineRule="exact"/>
        <w:ind w:left="102" w:right="92"/>
      </w:pPr>
      <w:r>
        <w:rPr>
          <w:rFonts w:ascii="Arial" w:cs="Arial" w:eastAsia="Arial" w:hAnsi="Arial"/>
          <w:position w:val="-1"/>
          <w:sz w:val="24"/>
          <w:szCs w:val="24"/>
        </w:rPr>
        <w:t>en un término de 48 horas, registre la fórmula respectiva, caso contrario, se dará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13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3" type="#_x0000_t75">
            <v:imagedata o:title="" r:id="rId17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84"/>
      </w:pPr>
      <w:r>
        <w:rPr>
          <w:rFonts w:ascii="Arial" w:cs="Arial" w:eastAsia="Arial" w:hAnsi="Arial"/>
          <w:sz w:val="24"/>
          <w:szCs w:val="24"/>
        </w:rPr>
        <w:t>cuenta al Consejo General del Instituto para los efectos señalados en la fracción VI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3"/>
        <w:ind w:left="102" w:right="5695"/>
      </w:pPr>
      <w:r>
        <w:rPr>
          <w:rFonts w:ascii="Arial" w:cs="Arial" w:eastAsia="Arial" w:hAnsi="Arial"/>
          <w:sz w:val="24"/>
          <w:szCs w:val="24"/>
        </w:rPr>
        <w:t>del artículo 186 de la LIPEEO.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Dentro del plazo establecido por el IEEPCO, la DEPPPyCI elaborará el dictamen</w:t>
      </w:r>
      <w:r>
        <w:rPr>
          <w:rFonts w:ascii="Arial" w:cs="Arial" w:eastAsia="Arial" w:hAnsi="Arial"/>
          <w:sz w:val="24"/>
          <w:szCs w:val="24"/>
        </w:rPr>
        <w:t> sobre  las  solicitudes  de  registro  de  las  candidaturas  a  la  diputación  migrante  o</w:t>
      </w:r>
      <w:r>
        <w:rPr>
          <w:rFonts w:ascii="Arial" w:cs="Arial" w:eastAsia="Arial" w:hAnsi="Arial"/>
          <w:sz w:val="24"/>
          <w:szCs w:val="24"/>
        </w:rPr>
        <w:t> binacional  y  lo  pondrá  a  consideración  del  Consejo  General  para  su  análisis  y</w:t>
      </w:r>
      <w:r>
        <w:rPr>
          <w:rFonts w:ascii="Arial" w:cs="Arial" w:eastAsia="Arial" w:hAnsi="Arial"/>
          <w:sz w:val="24"/>
          <w:szCs w:val="24"/>
        </w:rPr>
        <w:t> eventual aprobación.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Corresponde   al   Consejo   General   del   Instituto,   aprobar   el   registro   de   las</w:t>
      </w:r>
      <w:r>
        <w:rPr>
          <w:rFonts w:ascii="Arial" w:cs="Arial" w:eastAsia="Arial" w:hAnsi="Arial"/>
          <w:sz w:val="24"/>
          <w:szCs w:val="24"/>
        </w:rPr>
        <w:t> candidaturas  a  la  diputación  migrante  o  binacional  que  soliciten  los  partidos</w:t>
      </w:r>
      <w:r>
        <w:rPr>
          <w:rFonts w:ascii="Arial" w:cs="Arial" w:eastAsia="Arial" w:hAnsi="Arial"/>
          <w:sz w:val="24"/>
          <w:szCs w:val="24"/>
        </w:rPr>
        <w:t> políticos.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20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Para la sustitución de las candidaturas a la diputación migrante o binacional por el</w:t>
      </w:r>
      <w:r>
        <w:rPr>
          <w:rFonts w:ascii="Arial" w:cs="Arial" w:eastAsia="Arial" w:hAnsi="Arial"/>
          <w:sz w:val="24"/>
          <w:szCs w:val="24"/>
        </w:rPr>
        <w:t> principio de representación proporcional se estará a lo dispuesto en el Artículo 189</w:t>
      </w:r>
      <w:r>
        <w:rPr>
          <w:rFonts w:ascii="Arial" w:cs="Arial" w:eastAsia="Arial" w:hAnsi="Arial"/>
          <w:sz w:val="24"/>
          <w:szCs w:val="24"/>
        </w:rPr>
        <w:t> de la LIPEEO.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En  las  sustituciones  de  candidaturas  que  se  realicen  a  la  diputación  migrante  o</w:t>
      </w:r>
      <w:r>
        <w:rPr>
          <w:rFonts w:ascii="Arial" w:cs="Arial" w:eastAsia="Arial" w:hAnsi="Arial"/>
          <w:sz w:val="24"/>
          <w:szCs w:val="24"/>
        </w:rPr>
        <w:t> binacional por el principio de representación proporcional deberá ser considerado la</w:t>
      </w:r>
      <w:r>
        <w:rPr>
          <w:rFonts w:ascii="Arial" w:cs="Arial" w:eastAsia="Arial" w:hAnsi="Arial"/>
          <w:sz w:val="24"/>
          <w:szCs w:val="24"/>
        </w:rPr>
        <w:t> paridad y alternancia de tal manera que deberá ser del mismo género que la fórmula</w:t>
      </w:r>
      <w:r>
        <w:rPr>
          <w:rFonts w:ascii="Arial" w:cs="Arial" w:eastAsia="Arial" w:hAnsi="Arial"/>
          <w:sz w:val="24"/>
          <w:szCs w:val="24"/>
        </w:rPr>
        <w:t> original; así como su calidad de candidatura a la diputación migrante o binacional.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21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El plazo para el registro de candidaturas para ocupar el cargo de la diputación por</w:t>
      </w:r>
      <w:r>
        <w:rPr>
          <w:rFonts w:ascii="Arial" w:cs="Arial" w:eastAsia="Arial" w:hAnsi="Arial"/>
          <w:sz w:val="24"/>
          <w:szCs w:val="24"/>
        </w:rPr>
        <w:t> el principio de representación proporcional será el que se establece en el calendario</w:t>
      </w:r>
      <w:r>
        <w:rPr>
          <w:rFonts w:ascii="Arial" w:cs="Arial" w:eastAsia="Arial" w:hAnsi="Arial"/>
          <w:sz w:val="24"/>
          <w:szCs w:val="24"/>
        </w:rPr>
        <w:t> de actividades del proceso electoral local ordinario.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6"/>
      </w:pPr>
      <w:r>
        <w:rPr>
          <w:rFonts w:ascii="Arial" w:cs="Arial" w:eastAsia="Arial" w:hAnsi="Arial"/>
          <w:b/>
          <w:sz w:val="24"/>
          <w:szCs w:val="24"/>
        </w:rPr>
        <w:t>ARTÍCULO 22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En el caso de que un partido político no haya registrado la fórmula de diputación</w:t>
      </w:r>
      <w:r>
        <w:rPr>
          <w:rFonts w:ascii="Arial" w:cs="Arial" w:eastAsia="Arial" w:hAnsi="Arial"/>
          <w:sz w:val="24"/>
          <w:szCs w:val="24"/>
        </w:rPr>
        <w:t> migrante o binacional, el IEEPCO, le requerirá </w:t>
      </w:r>
      <w:r>
        <w:rPr>
          <w:rFonts w:ascii="Arial" w:cs="Arial" w:eastAsia="Arial" w:hAnsi="Arial"/>
          <w:sz w:val="24"/>
          <w:szCs w:val="24"/>
          <w:u w:color="000000" w:val="single"/>
        </w:rPr>
        <w:t>e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n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 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p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ri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m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e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ra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 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inst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a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n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  <w:u w:color="000000" w:val="single"/>
        </w:rPr>
        <w:t>cia</w:t>
      </w:r>
      <w:r>
        <w:rPr>
          <w:rFonts w:ascii="Arial" w:cs="Arial" w:eastAsia="Arial" w:hAnsi="Arial"/>
          <w:sz w:val="24"/>
          <w:szCs w:val="24"/>
          <w:u w:color="000000" w:val="single"/>
        </w:rPr>
      </w:r>
      <w:r>
        <w:rPr>
          <w:rFonts w:ascii="Arial" w:cs="Arial" w:eastAsia="Arial" w:hAnsi="Arial"/>
          <w:sz w:val="24"/>
          <w:szCs w:val="24"/>
        </w:rPr>
      </w:r>
      <w:r>
        <w:rPr>
          <w:rFonts w:ascii="Arial" w:cs="Arial" w:eastAsia="Arial" w:hAnsi="Arial"/>
          <w:sz w:val="24"/>
          <w:szCs w:val="24"/>
        </w:rPr>
        <w:t> para que, en el</w:t>
      </w:r>
      <w:r>
        <w:rPr>
          <w:rFonts w:ascii="Arial" w:cs="Arial" w:eastAsia="Arial" w:hAnsi="Arial"/>
          <w:sz w:val="24"/>
          <w:szCs w:val="24"/>
        </w:rPr>
        <w:t> plazo de cuarenta y ocho horas, contadas a partir de la notificación, rectifique la</w:t>
      </w:r>
      <w:r>
        <w:rPr>
          <w:rFonts w:ascii="Arial" w:cs="Arial" w:eastAsia="Arial" w:hAnsi="Arial"/>
          <w:sz w:val="24"/>
          <w:szCs w:val="24"/>
        </w:rPr>
        <w:t> solicitud de registro de candidaturas y le apercibirá de que, en caso de no hacerlo,</w:t>
      </w:r>
      <w:r>
        <w:rPr>
          <w:rFonts w:ascii="Arial" w:cs="Arial" w:eastAsia="Arial" w:hAnsi="Arial"/>
          <w:sz w:val="24"/>
          <w:szCs w:val="24"/>
        </w:rPr>
        <w:t> le hará una amonestación pública, de conformidad con lo establecido en el artículo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6935"/>
      </w:pPr>
      <w:r>
        <w:rPr>
          <w:rFonts w:ascii="Arial" w:cs="Arial" w:eastAsia="Arial" w:hAnsi="Arial"/>
          <w:position w:val="-1"/>
          <w:sz w:val="24"/>
          <w:szCs w:val="24"/>
        </w:rPr>
        <w:t>183 de la LIPEEO.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14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pict>
          <v:shape style="position:absolute;margin-left:9.12e-06pt;margin-top:0.0004pt;width:611.9pt;height:790.82pt;mso-position-horizontal-relative:page;mso-position-vertical-relative:page;z-index:-762" type="#_x0000_t75">
            <v:imagedata o:title="" r:id="rId18"/>
          </v:shape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6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Transcurrido el plazo a que se refiere el párrafo anterior, el partido político que no</w:t>
      </w:r>
      <w:r>
        <w:rPr>
          <w:rFonts w:ascii="Arial" w:cs="Arial" w:eastAsia="Arial" w:hAnsi="Arial"/>
          <w:sz w:val="24"/>
          <w:szCs w:val="24"/>
        </w:rPr>
        <w:t> realice la sustitución de candidaturas, será acreedor a una amonestación pública y</w:t>
      </w:r>
      <w:r>
        <w:rPr>
          <w:rFonts w:ascii="Arial" w:cs="Arial" w:eastAsia="Arial" w:hAnsi="Arial"/>
          <w:sz w:val="24"/>
          <w:szCs w:val="24"/>
        </w:rPr>
        <w:t> el Consejo General del Instituto Estatal le requerirá, de nueva cuenta, para que, en</w:t>
      </w:r>
      <w:r>
        <w:rPr>
          <w:rFonts w:ascii="Arial" w:cs="Arial" w:eastAsia="Arial" w:hAnsi="Arial"/>
          <w:sz w:val="24"/>
          <w:szCs w:val="24"/>
        </w:rPr>
        <w:t> un  plazo  de  veinticuatro  horas,  contadas  a  partir  de  la  notificación,  haga  la</w:t>
      </w:r>
      <w:r>
        <w:rPr>
          <w:rFonts w:ascii="Arial" w:cs="Arial" w:eastAsia="Arial" w:hAnsi="Arial"/>
          <w:sz w:val="24"/>
          <w:szCs w:val="24"/>
        </w:rPr>
        <w:t> corrección.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6"/>
      </w:pPr>
      <w:r>
        <w:rPr>
          <w:rFonts w:ascii="Arial" w:cs="Arial" w:eastAsia="Arial" w:hAnsi="Arial"/>
          <w:sz w:val="24"/>
          <w:szCs w:val="24"/>
        </w:rPr>
        <w:t>En  caso  de  incumplimiento  se  sancionará  con  la  negativa  del  registro  de  las</w:t>
      </w:r>
      <w:r>
        <w:rPr>
          <w:rFonts w:ascii="Arial" w:cs="Arial" w:eastAsia="Arial" w:hAnsi="Arial"/>
          <w:sz w:val="24"/>
          <w:szCs w:val="24"/>
        </w:rPr>
        <w:t> candidaturas correspondientes.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75" w:lineRule="auto"/>
        <w:ind w:firstLine="2" w:left="3099" w:right="3121"/>
      </w:pPr>
      <w:r>
        <w:rPr>
          <w:rFonts w:ascii="Arial" w:cs="Arial" w:eastAsia="Arial" w:hAnsi="Arial"/>
          <w:b/>
          <w:sz w:val="24"/>
          <w:szCs w:val="24"/>
        </w:rPr>
        <w:t>CAPÍTULO IV</w:t>
      </w:r>
      <w:r>
        <w:rPr>
          <w:rFonts w:ascii="Arial" w:cs="Arial" w:eastAsia="Arial" w:hAnsi="Arial"/>
          <w:b/>
          <w:sz w:val="24"/>
          <w:szCs w:val="24"/>
        </w:rPr>
        <w:t> SISTEMA DE VOTACIÓN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23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La ciudadanía del estado de Oaxaca residente en el extranjero emitirá su voto a</w:t>
      </w:r>
      <w:r>
        <w:rPr>
          <w:rFonts w:ascii="Arial" w:cs="Arial" w:eastAsia="Arial" w:hAnsi="Arial"/>
          <w:sz w:val="24"/>
          <w:szCs w:val="24"/>
        </w:rPr>
        <w:t> favor  del  partido  político  que  integre  la  fórmula  de  la  candidatura  migrante  o</w:t>
      </w:r>
      <w:r>
        <w:rPr>
          <w:rFonts w:ascii="Arial" w:cs="Arial" w:eastAsia="Arial" w:hAnsi="Arial"/>
          <w:sz w:val="24"/>
          <w:szCs w:val="24"/>
        </w:rPr>
        <w:t> binacional, la cual estará contenida dentro del primer treinta por ciento de la lista de</w:t>
      </w:r>
      <w:r>
        <w:rPr>
          <w:rFonts w:ascii="Arial" w:cs="Arial" w:eastAsia="Arial" w:hAnsi="Arial"/>
          <w:sz w:val="24"/>
          <w:szCs w:val="24"/>
        </w:rPr>
        <w:t> candidaturas por el principio de representación proporcional del partido político de</w:t>
      </w:r>
      <w:r>
        <w:rPr>
          <w:rFonts w:ascii="Arial" w:cs="Arial" w:eastAsia="Arial" w:hAnsi="Arial"/>
          <w:sz w:val="24"/>
          <w:szCs w:val="24"/>
        </w:rPr>
        <w:t> su  preferencia,  a  través  de  cualquiera  de  las  dos  modalidades  que  establece  el</w:t>
      </w:r>
      <w:r>
        <w:rPr>
          <w:rFonts w:ascii="Arial" w:cs="Arial" w:eastAsia="Arial" w:hAnsi="Arial"/>
          <w:sz w:val="24"/>
          <w:szCs w:val="24"/>
        </w:rPr>
        <w:t> artículo 12 del presente ordenamiento.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La votación obtenida, procedente de la ciudadanía del estado de Oaxaca residente</w:t>
      </w:r>
      <w:r>
        <w:rPr>
          <w:rFonts w:ascii="Arial" w:cs="Arial" w:eastAsia="Arial" w:hAnsi="Arial"/>
          <w:sz w:val="24"/>
          <w:szCs w:val="24"/>
        </w:rPr>
        <w:t> en el extranjero, se sumará al resultado del cómputo total que obtenga cada partido</w:t>
      </w:r>
      <w:r>
        <w:rPr>
          <w:rFonts w:ascii="Arial" w:cs="Arial" w:eastAsia="Arial" w:hAnsi="Arial"/>
          <w:sz w:val="24"/>
          <w:szCs w:val="24"/>
        </w:rPr>
        <w:t> político  en  la  entidad,  la  cual,  servirá  de  base  para  que  el  Consejo  General</w:t>
      </w:r>
      <w:r>
        <w:rPr>
          <w:rFonts w:ascii="Arial" w:cs="Arial" w:eastAsia="Arial" w:hAnsi="Arial"/>
          <w:sz w:val="24"/>
          <w:szCs w:val="24"/>
        </w:rPr>
        <w:t> determine   la   asignación   de   diputaciones   por   el   principio   de   representación</w:t>
      </w:r>
      <w:r>
        <w:rPr>
          <w:rFonts w:ascii="Arial" w:cs="Arial" w:eastAsia="Arial" w:hAnsi="Arial"/>
          <w:sz w:val="24"/>
          <w:szCs w:val="24"/>
        </w:rPr>
        <w:t> proporcional y realice la declaratoria respectiva.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7"/>
      </w:pPr>
      <w:r>
        <w:rPr>
          <w:rFonts w:ascii="Arial" w:cs="Arial" w:eastAsia="Arial" w:hAnsi="Arial"/>
          <w:b/>
          <w:sz w:val="24"/>
          <w:szCs w:val="24"/>
        </w:rPr>
        <w:t>ARTÍCULO 24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4"/>
      </w:pPr>
      <w:r>
        <w:rPr>
          <w:rFonts w:ascii="Arial" w:cs="Arial" w:eastAsia="Arial" w:hAnsi="Arial"/>
          <w:sz w:val="24"/>
          <w:szCs w:val="24"/>
        </w:rPr>
        <w:t>El  Consejo  General  aprobará  la  boleta  electoral  para  la  elección  de  Diputación</w:t>
      </w:r>
      <w:r>
        <w:rPr>
          <w:rFonts w:ascii="Arial" w:cs="Arial" w:eastAsia="Arial" w:hAnsi="Arial"/>
          <w:sz w:val="24"/>
          <w:szCs w:val="24"/>
        </w:rPr>
        <w:t> Migrante o Binacional por el principio de representación proporcional, misma que al</w:t>
      </w:r>
      <w:r>
        <w:rPr>
          <w:rFonts w:ascii="Arial" w:cs="Arial" w:eastAsia="Arial" w:hAnsi="Arial"/>
          <w:sz w:val="24"/>
          <w:szCs w:val="24"/>
        </w:rPr>
        <w:t> frente  tendrá  los  emblemas  de  los  partidos  políticos  por  separado,  incluso  si</w:t>
      </w:r>
      <w:r>
        <w:rPr>
          <w:rFonts w:ascii="Arial" w:cs="Arial" w:eastAsia="Arial" w:hAnsi="Arial"/>
          <w:sz w:val="24"/>
          <w:szCs w:val="24"/>
        </w:rPr>
        <w:t> contienden en coalición o candidatura común, y al reverso los nombres de quienes</w:t>
      </w:r>
      <w:r>
        <w:rPr>
          <w:rFonts w:ascii="Arial" w:cs="Arial" w:eastAsia="Arial" w:hAnsi="Arial"/>
          <w:sz w:val="24"/>
          <w:szCs w:val="24"/>
        </w:rPr>
        <w:t> integran las fórmulas de representación proporcional, resaltando las candidaturas 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3" w:line="260" w:lineRule="exact"/>
        <w:ind w:left="102" w:right="5346"/>
      </w:pPr>
      <w:r>
        <w:rPr>
          <w:rFonts w:ascii="Arial" w:cs="Arial" w:eastAsia="Arial" w:hAnsi="Arial"/>
          <w:position w:val="-1"/>
          <w:sz w:val="24"/>
          <w:szCs w:val="24"/>
        </w:rPr>
        <w:t>Diputación Migrante o Binacional.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15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1" type="#_x0000_t75">
            <v:imagedata o:title="" r:id="rId19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7346"/>
      </w:pPr>
      <w:r>
        <w:rPr>
          <w:rFonts w:ascii="Arial" w:cs="Arial" w:eastAsia="Arial" w:hAnsi="Arial"/>
          <w:b/>
          <w:sz w:val="24"/>
          <w:szCs w:val="24"/>
        </w:rPr>
        <w:t>ARTÍCULO 25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9"/>
      </w:pPr>
      <w:r>
        <w:rPr>
          <w:rFonts w:ascii="Arial" w:cs="Arial" w:eastAsia="Arial" w:hAnsi="Arial"/>
          <w:sz w:val="24"/>
          <w:szCs w:val="24"/>
        </w:rPr>
        <w:t>Las  modalidades  de  votación  para  la  elección  de  la  Diputación  Migrante  o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41"/>
        <w:ind w:left="102" w:right="1981"/>
      </w:pPr>
      <w:r>
        <w:rPr>
          <w:rFonts w:ascii="Arial" w:cs="Arial" w:eastAsia="Arial" w:hAnsi="Arial"/>
          <w:sz w:val="24"/>
          <w:szCs w:val="24"/>
        </w:rPr>
        <w:t>Binacional, deberán apegarse a la normatividad correspondiente.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56" w:right="3773"/>
      </w:pPr>
      <w:r>
        <w:rPr>
          <w:rFonts w:ascii="Arial" w:cs="Arial" w:eastAsia="Arial" w:hAnsi="Arial"/>
          <w:b/>
          <w:sz w:val="24"/>
          <w:szCs w:val="24"/>
        </w:rPr>
        <w:t>CAPÍTULO V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41" w:line="275" w:lineRule="auto"/>
        <w:ind w:left="365" w:right="389"/>
      </w:pPr>
      <w:r>
        <w:rPr>
          <w:rFonts w:ascii="Arial" w:cs="Arial" w:eastAsia="Arial" w:hAnsi="Arial"/>
          <w:b/>
          <w:sz w:val="24"/>
          <w:szCs w:val="24"/>
        </w:rPr>
        <w:t>RECEPCIÓN, CÓMPUTO DE VOTOS Y ASIGNACIÓN DE LA DIPUTACIÓN</w:t>
      </w:r>
      <w:r>
        <w:rPr>
          <w:rFonts w:ascii="Arial" w:cs="Arial" w:eastAsia="Arial" w:hAnsi="Arial"/>
          <w:b/>
          <w:sz w:val="24"/>
          <w:szCs w:val="24"/>
        </w:rPr>
        <w:t> MIGRANTE O BINACIONAL POR EL PRINCIPIO DE REPRESENTACIÓN</w:t>
      </w:r>
      <w:r>
        <w:rPr>
          <w:rFonts w:ascii="Arial" w:cs="Arial" w:eastAsia="Arial" w:hAnsi="Arial"/>
          <w:b/>
          <w:sz w:val="24"/>
          <w:szCs w:val="24"/>
        </w:rPr>
        <w:t> PROPORCIONAL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6"/>
      </w:pPr>
      <w:r>
        <w:rPr>
          <w:rFonts w:ascii="Arial" w:cs="Arial" w:eastAsia="Arial" w:hAnsi="Arial"/>
          <w:b/>
          <w:sz w:val="24"/>
          <w:szCs w:val="24"/>
        </w:rPr>
        <w:t>ARTÍCULO 26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Para la recepción y cómputo de los votos que se emitan desde el extranjero para la</w:t>
      </w:r>
      <w:r>
        <w:rPr>
          <w:rFonts w:ascii="Arial" w:cs="Arial" w:eastAsia="Arial" w:hAnsi="Arial"/>
          <w:sz w:val="24"/>
          <w:szCs w:val="24"/>
        </w:rPr>
        <w:t> elección  de  la  Diputación   Migrante  o  Binacional,  el  IEEPCO  observará  los</w:t>
      </w:r>
      <w:r>
        <w:rPr>
          <w:rFonts w:ascii="Arial" w:cs="Arial" w:eastAsia="Arial" w:hAnsi="Arial"/>
          <w:sz w:val="24"/>
          <w:szCs w:val="24"/>
        </w:rPr>
        <w:t> lineamientos que al efecto establezca el INE; así como el procedimiento para la</w:t>
      </w:r>
      <w:r>
        <w:rPr>
          <w:rFonts w:ascii="Arial" w:cs="Arial" w:eastAsia="Arial" w:hAnsi="Arial"/>
          <w:sz w:val="24"/>
          <w:szCs w:val="24"/>
        </w:rPr>
        <w:t> recepción,  traslado  y  resguardo  de  la  paquetería  electoral  postal,  las  actas  de</w:t>
      </w:r>
      <w:r>
        <w:rPr>
          <w:rFonts w:ascii="Arial" w:cs="Arial" w:eastAsia="Arial" w:hAnsi="Arial"/>
          <w:sz w:val="24"/>
          <w:szCs w:val="24"/>
        </w:rPr>
        <w:t> escrutinio y cómputo de voto postal y electrónico, y el acta de cómputo de entidad</w:t>
      </w:r>
      <w:r>
        <w:rPr>
          <w:rFonts w:ascii="Arial" w:cs="Arial" w:eastAsia="Arial" w:hAnsi="Arial"/>
          <w:sz w:val="24"/>
          <w:szCs w:val="24"/>
        </w:rPr>
        <w:t> federativa que determinó el IEEPCO.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6"/>
      </w:pPr>
      <w:r>
        <w:rPr>
          <w:rFonts w:ascii="Arial" w:cs="Arial" w:eastAsia="Arial" w:hAnsi="Arial"/>
          <w:b/>
          <w:sz w:val="24"/>
          <w:szCs w:val="24"/>
        </w:rPr>
        <w:t>ARTÍCULO 27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El escrutinio y cómputo de la votación total emitida en el extranjero se sumará a la</w:t>
      </w:r>
      <w:r>
        <w:rPr>
          <w:rFonts w:ascii="Arial" w:cs="Arial" w:eastAsia="Arial" w:hAnsi="Arial"/>
          <w:sz w:val="24"/>
          <w:szCs w:val="24"/>
        </w:rPr>
        <w:t> votación total emitida en el estado de Oaxaca para efectos que el Consejo General</w:t>
      </w:r>
      <w:r>
        <w:rPr>
          <w:rFonts w:ascii="Arial" w:cs="Arial" w:eastAsia="Arial" w:hAnsi="Arial"/>
          <w:sz w:val="24"/>
          <w:szCs w:val="24"/>
        </w:rPr>
        <w:t> determine la asignación de curules de representación proporcional.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El  IEEPCO  garantizará  la  asignación  de  la  Diputación  Migrante  o  Binacional</w:t>
      </w:r>
      <w:r>
        <w:rPr>
          <w:rFonts w:ascii="Arial" w:cs="Arial" w:eastAsia="Arial" w:hAnsi="Arial"/>
          <w:sz w:val="24"/>
          <w:szCs w:val="24"/>
        </w:rPr>
        <w:t> respetando el principio de paridad entre mujeres y hombres.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22" w:right="3742"/>
      </w:pPr>
      <w:r>
        <w:rPr>
          <w:rFonts w:ascii="Arial" w:cs="Arial" w:eastAsia="Arial" w:hAnsi="Arial"/>
          <w:b/>
          <w:sz w:val="24"/>
          <w:szCs w:val="24"/>
        </w:rPr>
        <w:t>CAPÍTULO VI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41" w:line="551" w:lineRule="auto"/>
        <w:ind w:firstLine="864" w:left="102" w:right="944"/>
      </w:pPr>
      <w:r>
        <w:rPr>
          <w:rFonts w:ascii="Arial" w:cs="Arial" w:eastAsia="Arial" w:hAnsi="Arial"/>
          <w:b/>
          <w:sz w:val="24"/>
          <w:szCs w:val="24"/>
        </w:rPr>
        <w:t>DECLARATORIA DE VALIDEZ Y ENTREGA DE CONSTANCIAS</w:t>
      </w:r>
      <w:r>
        <w:rPr>
          <w:rFonts w:ascii="Arial" w:cs="Arial" w:eastAsia="Arial" w:hAnsi="Arial"/>
          <w:b/>
          <w:sz w:val="24"/>
          <w:szCs w:val="24"/>
        </w:rPr>
        <w:t> ARTÍCULO 28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2" w:line="276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El Consejo General emitirá la declaratoria de validez de la elección de la Diputación</w:t>
      </w:r>
      <w:r>
        <w:rPr>
          <w:rFonts w:ascii="Arial" w:cs="Arial" w:eastAsia="Arial" w:hAnsi="Arial"/>
          <w:sz w:val="24"/>
          <w:szCs w:val="24"/>
        </w:rPr>
        <w:t> Migrante o Binacional y entregará la constancia correspondiente. Lo anterior, a partir</w:t>
      </w:r>
      <w:r>
        <w:rPr>
          <w:rFonts w:ascii="Arial" w:cs="Arial" w:eastAsia="Arial" w:hAnsi="Arial"/>
          <w:sz w:val="24"/>
          <w:szCs w:val="24"/>
        </w:rPr>
        <w:t> de las acciones que se instrumenten para tener certeza de los resultados que se</w:t>
      </w:r>
      <w:r>
        <w:rPr>
          <w:rFonts w:ascii="Arial" w:cs="Arial" w:eastAsia="Arial" w:hAnsi="Arial"/>
          <w:sz w:val="24"/>
          <w:szCs w:val="24"/>
        </w:rPr>
        <w:t> obtengan  en  cada  una  de  las  Mesas  de  Escrutinio  y  Cómputo  instaladas  para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82"/>
      </w:pPr>
      <w:r>
        <w:rPr>
          <w:rFonts w:ascii="Arial" w:cs="Arial" w:eastAsia="Arial" w:hAnsi="Arial"/>
          <w:position w:val="-1"/>
          <w:sz w:val="24"/>
          <w:szCs w:val="24"/>
        </w:rPr>
        <w:t>contabilizar  la  votación  emitida  tanto  en  el  estado  de  Oaxaca,  como  desde  el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16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60" type="#_x0000_t75">
            <v:imagedata o:title="" r:id="rId20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77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extranjero,  así  como  las  resoluciones  que,  en  su  caso,  remitan  las  autoridades</w:t>
      </w:r>
      <w:r>
        <w:rPr>
          <w:rFonts w:ascii="Arial" w:cs="Arial" w:eastAsia="Arial" w:hAnsi="Arial"/>
          <w:sz w:val="24"/>
          <w:szCs w:val="24"/>
        </w:rPr>
        <w:t> correspondientes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75" w:lineRule="auto"/>
        <w:ind w:left="3027" w:right="3046"/>
      </w:pPr>
      <w:r>
        <w:rPr>
          <w:rFonts w:ascii="Arial" w:cs="Arial" w:eastAsia="Arial" w:hAnsi="Arial"/>
          <w:b/>
          <w:sz w:val="24"/>
          <w:szCs w:val="24"/>
        </w:rPr>
        <w:t>CAPÍTULO VII</w:t>
      </w:r>
      <w:r>
        <w:rPr>
          <w:rFonts w:ascii="Arial" w:cs="Arial" w:eastAsia="Arial" w:hAnsi="Arial"/>
          <w:b/>
          <w:sz w:val="24"/>
          <w:szCs w:val="24"/>
        </w:rPr>
        <w:t> DIFUSIÓN Y PROMOCIÓN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29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Las candidaturas de la  Diputación Migrante o Binacional gozarán de los mismos</w:t>
      </w:r>
      <w:r>
        <w:rPr>
          <w:rFonts w:ascii="Arial" w:cs="Arial" w:eastAsia="Arial" w:hAnsi="Arial"/>
          <w:sz w:val="24"/>
          <w:szCs w:val="24"/>
        </w:rPr>
        <w:t> derechos   que   las   personas   candidatas   por   el   principio   de   representación</w:t>
      </w:r>
      <w:r>
        <w:rPr>
          <w:rFonts w:ascii="Arial" w:cs="Arial" w:eastAsia="Arial" w:hAnsi="Arial"/>
          <w:sz w:val="24"/>
          <w:szCs w:val="24"/>
        </w:rPr>
        <w:t> proporcional  en  el  estado  de  Oaxaca  para  la  promoción  de  su  candidatura,</w:t>
      </w:r>
      <w:r>
        <w:rPr>
          <w:rFonts w:ascii="Arial" w:cs="Arial" w:eastAsia="Arial" w:hAnsi="Arial"/>
          <w:sz w:val="24"/>
          <w:szCs w:val="24"/>
        </w:rPr>
        <w:t> observando  las  restricciones  y  prohibiciones  señaladas  en  la  CPEUM,  en  la</w:t>
      </w:r>
      <w:r>
        <w:rPr>
          <w:rFonts w:ascii="Arial" w:cs="Arial" w:eastAsia="Arial" w:hAnsi="Arial"/>
          <w:sz w:val="24"/>
          <w:szCs w:val="24"/>
        </w:rPr>
        <w:t> Constitución Local y en la LIPEEO.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30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6" w:lineRule="auto"/>
        <w:ind w:left="102" w:right="83"/>
      </w:pPr>
      <w:r>
        <w:rPr>
          <w:rFonts w:ascii="Arial" w:cs="Arial" w:eastAsia="Arial" w:hAnsi="Arial"/>
          <w:sz w:val="24"/>
          <w:szCs w:val="24"/>
        </w:rPr>
        <w:t>Las  personas  candidatas  y  los  partidos  políticos  en  ningún  momento  podrán</w:t>
      </w:r>
      <w:r>
        <w:rPr>
          <w:rFonts w:ascii="Arial" w:cs="Arial" w:eastAsia="Arial" w:hAnsi="Arial"/>
          <w:sz w:val="24"/>
          <w:szCs w:val="24"/>
        </w:rPr>
        <w:t> hacer  campaña  en  el  extranjero  dirigida  a  influir  en  las  preferencias  electorales,</w:t>
      </w:r>
      <w:r>
        <w:rPr>
          <w:rFonts w:ascii="Arial" w:cs="Arial" w:eastAsia="Arial" w:hAnsi="Arial"/>
          <w:sz w:val="24"/>
          <w:szCs w:val="24"/>
        </w:rPr>
        <w:t> así  como  contratar  o  adquirir,  por  sí  o  por  terceras  personas,  tiempos  en  radio</w:t>
      </w:r>
      <w:r>
        <w:rPr>
          <w:rFonts w:ascii="Arial" w:cs="Arial" w:eastAsia="Arial" w:hAnsi="Arial"/>
          <w:sz w:val="24"/>
          <w:szCs w:val="24"/>
        </w:rPr>
        <w:t> o televisión, ni a favor o en contra de partidos o personas candidatas a cargo de</w:t>
      </w:r>
      <w:r>
        <w:rPr>
          <w:rFonts w:ascii="Arial" w:cs="Arial" w:eastAsia="Arial" w:hAnsi="Arial"/>
          <w:sz w:val="24"/>
          <w:szCs w:val="24"/>
        </w:rPr>
        <w:t> elección popular.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En  ningún  caso  se  podrá  comprar  o  adquirir  espacios  en  radio  y  televisión  ni</w:t>
      </w:r>
      <w:r>
        <w:rPr>
          <w:rFonts w:ascii="Arial" w:cs="Arial" w:eastAsia="Arial" w:hAnsi="Arial"/>
          <w:sz w:val="24"/>
          <w:szCs w:val="24"/>
        </w:rPr>
        <w:t> arrendar espacios  para  propaganda o  publicidad en el  extranjero,  conforme  a lo</w:t>
      </w:r>
      <w:r>
        <w:rPr>
          <w:rFonts w:ascii="Arial" w:cs="Arial" w:eastAsia="Arial" w:hAnsi="Arial"/>
          <w:sz w:val="24"/>
          <w:szCs w:val="24"/>
        </w:rPr>
        <w:t> previsto en el Artículo 353 de la Ley General.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31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75" w:lineRule="auto"/>
        <w:ind w:left="102" w:right="85"/>
      </w:pPr>
      <w:r>
        <w:rPr>
          <w:rFonts w:ascii="Arial" w:cs="Arial" w:eastAsia="Arial" w:hAnsi="Arial"/>
          <w:sz w:val="24"/>
          <w:szCs w:val="24"/>
        </w:rPr>
        <w:t>Los  partidos  políticos  deberán  incluir  en  sus  plataformas  un  apartado  dedicado</w:t>
      </w:r>
      <w:r>
        <w:rPr>
          <w:rFonts w:ascii="Arial" w:cs="Arial" w:eastAsia="Arial" w:hAnsi="Arial"/>
          <w:sz w:val="24"/>
          <w:szCs w:val="24"/>
        </w:rPr>
        <w:t> a  los  asuntos  relacionados  con  la  población  originaria  del  estado  de  Oaxaca</w:t>
      </w:r>
      <w:r>
        <w:rPr>
          <w:rFonts w:ascii="Arial" w:cs="Arial" w:eastAsia="Arial" w:hAnsi="Arial"/>
          <w:sz w:val="24"/>
          <w:szCs w:val="24"/>
        </w:rPr>
        <w:t> residente en el extranjero.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5"/>
      </w:pPr>
      <w:r>
        <w:rPr>
          <w:rFonts w:ascii="Arial" w:cs="Arial" w:eastAsia="Arial" w:hAnsi="Arial"/>
          <w:b/>
          <w:sz w:val="24"/>
          <w:szCs w:val="24"/>
        </w:rPr>
        <w:t>ARTÍCULO 32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20" w:lineRule="atLeast"/>
        <w:ind w:left="102" w:right="82"/>
      </w:pPr>
      <w:r>
        <w:rPr>
          <w:rFonts w:ascii="Arial" w:cs="Arial" w:eastAsia="Arial" w:hAnsi="Arial"/>
          <w:sz w:val="24"/>
          <w:szCs w:val="24"/>
        </w:rPr>
        <w:t>El    IEEPCO    establecerá    oportunamente    los    mecanismos    y/o    acciones</w:t>
      </w:r>
      <w:r>
        <w:rPr>
          <w:rFonts w:ascii="Arial" w:cs="Arial" w:eastAsia="Arial" w:hAnsi="Arial"/>
          <w:sz w:val="24"/>
          <w:szCs w:val="24"/>
        </w:rPr>
        <w:t> que instrumentará para la promoción y difusión de la candidatura a la Diputación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  <w:sectPr>
          <w:pgSz w:h="15840" w:w="12240"/>
          <w:pgMar w:bottom="280" w:left="1600" w:right="1580" w:top="1480"/>
        </w:sectPr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17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pict>
          <v:shape style="position:absolute;margin-left:9.12e-06pt;margin-top:0.0004pt;width:611.9pt;height:790.82pt;mso-position-horizontal-relative:page;mso-position-vertical-relative:page;z-index:-759" type="#_x0000_t75">
            <v:imagedata o:title="" r:id="rId21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77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Migrante,  conforme  a  sus  plataformas  electorales,  así  como  a  la  estrategia  que</w:t>
      </w:r>
      <w:r>
        <w:rPr>
          <w:rFonts w:ascii="Arial" w:cs="Arial" w:eastAsia="Arial" w:hAnsi="Arial"/>
          <w:sz w:val="24"/>
          <w:szCs w:val="24"/>
        </w:rPr>
        <w:t> proponga la Unidad Técnica.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76" w:right="3593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00" w:lineRule="atLeast"/>
        <w:ind w:left="102" w:right="86"/>
      </w:pPr>
      <w:r>
        <w:rPr>
          <w:rFonts w:ascii="Arial" w:cs="Arial" w:eastAsia="Arial" w:hAnsi="Arial"/>
          <w:b/>
          <w:sz w:val="24"/>
          <w:szCs w:val="24"/>
        </w:rPr>
        <w:t>Primero.  </w:t>
      </w:r>
      <w:r>
        <w:rPr>
          <w:rFonts w:ascii="Arial" w:cs="Arial" w:eastAsia="Arial" w:hAnsi="Arial"/>
          <w:sz w:val="24"/>
          <w:szCs w:val="24"/>
        </w:rPr>
        <w:t>Los  presentes  Lineamientos  entrarán  en  vigor  al  momento  de  su</w:t>
      </w:r>
      <w:r>
        <w:rPr>
          <w:rFonts w:ascii="Arial" w:cs="Arial" w:eastAsia="Arial" w:hAnsi="Arial"/>
          <w:sz w:val="24"/>
          <w:szCs w:val="24"/>
        </w:rPr>
        <w:t> aprobación por el Consejo General del IEEPCO.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right"/>
        <w:spacing w:before="12"/>
        <w:ind w:right="120"/>
      </w:pPr>
      <w:r>
        <w:rPr>
          <w:rFonts w:ascii="Calibri" w:cs="Calibri" w:eastAsia="Calibri" w:hAnsi="Calibri"/>
          <w:sz w:val="22"/>
          <w:szCs w:val="22"/>
        </w:rPr>
        <w:t>Página </w:t>
      </w:r>
      <w:r>
        <w:rPr>
          <w:rFonts w:ascii="Calibri" w:cs="Calibri" w:eastAsia="Calibri" w:hAnsi="Calibri"/>
          <w:b/>
          <w:sz w:val="22"/>
          <w:szCs w:val="22"/>
        </w:rPr>
        <w:t>18 </w:t>
      </w:r>
      <w:r>
        <w:rPr>
          <w:rFonts w:ascii="Calibri" w:cs="Calibri" w:eastAsia="Calibri" w:hAnsi="Calibri"/>
          <w:sz w:val="22"/>
          <w:szCs w:val="22"/>
        </w:rPr>
        <w:t>de </w:t>
      </w:r>
      <w:r>
        <w:rPr>
          <w:rFonts w:ascii="Calibri" w:cs="Calibri" w:eastAsia="Calibri" w:hAnsi="Calibri"/>
          <w:b/>
          <w:sz w:val="22"/>
          <w:szCs w:val="22"/>
        </w:rPr>
        <w:t>18</w:t>
      </w:r>
      <w:r>
        <w:rPr>
          <w:rFonts w:ascii="Calibri" w:cs="Calibri" w:eastAsia="Calibri" w:hAnsi="Calibri"/>
          <w:sz w:val="22"/>
          <w:szCs w:val="22"/>
        </w:rPr>
      </w:r>
    </w:p>
    <w:sectPr>
      <w:pgSz w:h="15840" w:w="12240"/>
      <w:pgMar w:bottom="280" w:left="1600" w:right="1580" w:top="14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1.jpg" Type="http://schemas.openxmlformats.org/officeDocument/2006/relationships/image"/><Relationship Id="rId6" Target="media\image1.jpg" Type="http://schemas.openxmlformats.org/officeDocument/2006/relationships/image"/><Relationship Id="rId7" Target="media\image1.jpg" Type="http://schemas.openxmlformats.org/officeDocument/2006/relationships/image"/><Relationship Id="rId8" Target="media\image1.jpg" Type="http://schemas.openxmlformats.org/officeDocument/2006/relationships/image"/><Relationship Id="rId9" Target="media\image1.jpg" Type="http://schemas.openxmlformats.org/officeDocument/2006/relationships/image"/><Relationship Id="rId10" Target="media\image1.jpg" Type="http://schemas.openxmlformats.org/officeDocument/2006/relationships/image"/><Relationship Id="rId11" Target="media\image1.jpg" Type="http://schemas.openxmlformats.org/officeDocument/2006/relationships/image"/><Relationship Id="rId12" Target="media\image1.jpg" Type="http://schemas.openxmlformats.org/officeDocument/2006/relationships/image"/><Relationship Id="rId13" Target="media\image1.jpg" Type="http://schemas.openxmlformats.org/officeDocument/2006/relationships/image"/><Relationship Id="rId14" Target="media\image1.jpg" Type="http://schemas.openxmlformats.org/officeDocument/2006/relationships/image"/><Relationship Id="rId15" Target="media\image1.jpg" Type="http://schemas.openxmlformats.org/officeDocument/2006/relationships/image"/><Relationship Id="rId16" Target="media\image1.jpg" Type="http://schemas.openxmlformats.org/officeDocument/2006/relationships/image"/><Relationship Id="rId17" Target="media\image1.jpg" Type="http://schemas.openxmlformats.org/officeDocument/2006/relationships/image"/><Relationship Id="rId18" Target="media\image1.jpg" Type="http://schemas.openxmlformats.org/officeDocument/2006/relationships/image"/><Relationship Id="rId19" Target="media\image1.jpg" Type="http://schemas.openxmlformats.org/officeDocument/2006/relationships/image"/><Relationship Id="rId20" Target="media\image1.jpg" Type="http://schemas.openxmlformats.org/officeDocument/2006/relationships/image"/><Relationship Id="rId2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