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101E" w14:textId="62448092" w:rsidR="00F22296" w:rsidRPr="00EA6744" w:rsidRDefault="00EF7772" w:rsidP="00EA6744">
      <w:pPr>
        <w:pBdr>
          <w:bottom w:val="single" w:sz="12" w:space="0" w:color="000000"/>
        </w:pBdr>
        <w:shd w:val="clear" w:color="auto" w:fill="FFFFFF"/>
        <w:spacing w:before="120" w:after="0" w:line="280" w:lineRule="exact"/>
        <w:jc w:val="both"/>
        <w:outlineLvl w:val="0"/>
        <w:rPr>
          <w:rFonts w:ascii="Arial" w:hAnsi="Arial" w:cs="Arial"/>
          <w:bCs/>
          <w:sz w:val="17"/>
          <w:szCs w:val="17"/>
        </w:rPr>
      </w:pPr>
      <w:bookmarkStart w:id="0" w:name="_GoBack"/>
      <w:bookmarkEnd w:id="0"/>
      <w:r w:rsidRPr="00EA6744">
        <w:rPr>
          <w:rFonts w:ascii="Arial" w:eastAsia="Times New Roman" w:hAnsi="Arial" w:cs="Arial"/>
          <w:b/>
          <w:bCs/>
          <w:color w:val="2F2F2F"/>
          <w:kern w:val="36"/>
          <w:sz w:val="17"/>
          <w:szCs w:val="17"/>
          <w:lang w:eastAsia="es-MX"/>
        </w:rPr>
        <w:t>EXTRACTO</w:t>
      </w:r>
      <w:r w:rsidRPr="00EA6744">
        <w:rPr>
          <w:rFonts w:ascii="Arial" w:hAnsi="Arial" w:cs="Arial"/>
          <w:sz w:val="17"/>
          <w:szCs w:val="17"/>
        </w:rPr>
        <w:t xml:space="preserve"> </w:t>
      </w:r>
      <w:r w:rsidR="00312652" w:rsidRPr="00EA6744">
        <w:rPr>
          <w:rFonts w:ascii="Arial" w:hAnsi="Arial" w:cs="Arial"/>
          <w:sz w:val="17"/>
          <w:szCs w:val="17"/>
        </w:rPr>
        <w:t xml:space="preserve">de la </w:t>
      </w:r>
      <w:bookmarkStart w:id="1" w:name="_Hlk50742324"/>
      <w:r w:rsidR="00B1325B" w:rsidRPr="00EA6744">
        <w:rPr>
          <w:rFonts w:ascii="Arial" w:hAnsi="Arial" w:cs="Arial"/>
          <w:bCs/>
          <w:sz w:val="17"/>
          <w:szCs w:val="17"/>
        </w:rPr>
        <w:t>Resolución del Consejo General del Instituto Nacional Electoral por el que se aprueba ejercer la facultad de atracción para ajustar a una fecha única la conclusión del periodo precampañas y el relativo para recabar apoyo ciudadano, para los procesos electorales locales concurrentes con el Proceso Electoral Federal 2021, en acatamiento a la sentencia dictada por la Sala Superior del Tribunal Electoral del Poder Judicial de la Federación en el expediente SUP-RAP-46/2020</w:t>
      </w:r>
      <w:bookmarkEnd w:id="1"/>
    </w:p>
    <w:p w14:paraId="612FF782" w14:textId="30AE88A5" w:rsidR="00312652" w:rsidRPr="00EA6744" w:rsidRDefault="00312652" w:rsidP="00EA6744">
      <w:pPr>
        <w:spacing w:line="280" w:lineRule="exact"/>
        <w:jc w:val="both"/>
        <w:rPr>
          <w:rFonts w:ascii="Arial" w:hAnsi="Arial" w:cs="Arial"/>
          <w:b/>
          <w:sz w:val="17"/>
          <w:szCs w:val="17"/>
        </w:rPr>
      </w:pPr>
      <w:r w:rsidRPr="00EA6744">
        <w:rPr>
          <w:rFonts w:ascii="Arial" w:hAnsi="Arial" w:cs="Arial"/>
          <w:b/>
          <w:bCs/>
          <w:sz w:val="17"/>
          <w:szCs w:val="17"/>
        </w:rPr>
        <w:t>EXTRACTO DE LA RESOLUCIÓN INE/CG</w:t>
      </w:r>
      <w:r w:rsidR="00B1325B" w:rsidRPr="00EA6744">
        <w:rPr>
          <w:rFonts w:ascii="Arial" w:hAnsi="Arial" w:cs="Arial"/>
          <w:b/>
          <w:bCs/>
          <w:sz w:val="17"/>
          <w:szCs w:val="17"/>
        </w:rPr>
        <w:t>289</w:t>
      </w:r>
      <w:r w:rsidRPr="00EA6744">
        <w:rPr>
          <w:rFonts w:ascii="Arial" w:hAnsi="Arial" w:cs="Arial"/>
          <w:b/>
          <w:bCs/>
          <w:sz w:val="17"/>
          <w:szCs w:val="17"/>
        </w:rPr>
        <w:t xml:space="preserve">/2020 </w:t>
      </w:r>
      <w:r w:rsidR="00B1325B" w:rsidRPr="00EA6744">
        <w:rPr>
          <w:rFonts w:ascii="Arial" w:hAnsi="Arial" w:cs="Arial"/>
          <w:b/>
          <w:sz w:val="17"/>
          <w:szCs w:val="17"/>
        </w:rPr>
        <w:t>DEL CONSEJO GENERAL DEL INSTITUTO NACIONAL ELECTORAL POR EL QUE SE APRUEBA EJERCER LA FACULTAD DE ATRACCIÓN PARA AJUSTAR A UNA FECHA ÚNICA LA CONCLUSIÓN DEL PERIODO PRECAMPAÑAS Y EL RELATIVO PARA RECABAR APOYO CIUDADANO, PARA LOS PROCESOS ELECTORALES LOCALES CONCURRENTES CON EL PROCESO ELECTORAL FEDERAL 2021, EN ACATAMIENTO A LA SENTENCIA DICTADA POR LA SALA SUPERIOR DEL TRIBUNAL ELECTORAL DEL PODER JUDICIAL DE LA FEDERACIÓN EN EL EXPEDIENTE SUP-RAP-46/2020.</w:t>
      </w:r>
    </w:p>
    <w:p w14:paraId="0837214E" w14:textId="77777777" w:rsidR="00EF7772" w:rsidRPr="00EA6744" w:rsidRDefault="00EF7772" w:rsidP="00EA6744">
      <w:pPr>
        <w:spacing w:after="0" w:line="280" w:lineRule="exact"/>
        <w:jc w:val="center"/>
        <w:rPr>
          <w:rFonts w:ascii="Arial" w:hAnsi="Arial" w:cs="Arial"/>
          <w:b/>
          <w:bCs/>
          <w:sz w:val="17"/>
          <w:szCs w:val="17"/>
        </w:rPr>
      </w:pPr>
      <w:r w:rsidRPr="00EA6744">
        <w:rPr>
          <w:rFonts w:ascii="Arial" w:hAnsi="Arial" w:cs="Arial"/>
          <w:b/>
          <w:bCs/>
          <w:sz w:val="17"/>
          <w:szCs w:val="17"/>
        </w:rPr>
        <w:t>ANTECEDENTE</w:t>
      </w:r>
      <w:r w:rsidR="008D54CA" w:rsidRPr="00EA6744">
        <w:rPr>
          <w:rFonts w:ascii="Arial" w:hAnsi="Arial" w:cs="Arial"/>
          <w:b/>
          <w:bCs/>
          <w:sz w:val="17"/>
          <w:szCs w:val="17"/>
        </w:rPr>
        <w:t>S</w:t>
      </w:r>
    </w:p>
    <w:p w14:paraId="4605501A" w14:textId="77777777" w:rsidR="00312652" w:rsidRPr="00EA6744" w:rsidRDefault="008D54CA" w:rsidP="00EA6744">
      <w:pPr>
        <w:spacing w:line="280" w:lineRule="exact"/>
        <w:jc w:val="both"/>
        <w:rPr>
          <w:rFonts w:ascii="Arial" w:hAnsi="Arial" w:cs="Arial"/>
          <w:b/>
          <w:bCs/>
          <w:sz w:val="17"/>
          <w:szCs w:val="17"/>
        </w:rPr>
      </w:pPr>
      <w:r w:rsidRPr="00EA6744">
        <w:rPr>
          <w:rFonts w:ascii="Arial" w:hAnsi="Arial" w:cs="Arial"/>
          <w:b/>
          <w:bCs/>
          <w:sz w:val="17"/>
          <w:szCs w:val="17"/>
        </w:rPr>
        <w:t>…</w:t>
      </w:r>
    </w:p>
    <w:p w14:paraId="54DEDA13" w14:textId="4350A385" w:rsidR="00BD3FAD" w:rsidRPr="00EA6744" w:rsidRDefault="008D54CA" w:rsidP="00EA6744">
      <w:pPr>
        <w:spacing w:line="280" w:lineRule="exact"/>
        <w:jc w:val="both"/>
        <w:rPr>
          <w:rFonts w:ascii="Arial" w:hAnsi="Arial" w:cs="Arial"/>
          <w:sz w:val="17"/>
          <w:szCs w:val="17"/>
        </w:rPr>
      </w:pPr>
      <w:r w:rsidRPr="00EA6744">
        <w:rPr>
          <w:rFonts w:ascii="Arial" w:hAnsi="Arial" w:cs="Arial"/>
          <w:b/>
          <w:bCs/>
          <w:sz w:val="17"/>
          <w:szCs w:val="17"/>
        </w:rPr>
        <w:t xml:space="preserve">10. </w:t>
      </w:r>
      <w:r w:rsidR="00EF7772" w:rsidRPr="00EA6744">
        <w:rPr>
          <w:rFonts w:ascii="Arial" w:hAnsi="Arial" w:cs="Arial"/>
          <w:b/>
          <w:bCs/>
          <w:sz w:val="17"/>
          <w:szCs w:val="17"/>
        </w:rPr>
        <w:t>Presentación de la solicitud de atracción</w:t>
      </w:r>
      <w:r w:rsidR="00EF7772" w:rsidRPr="00EA6744">
        <w:rPr>
          <w:rFonts w:ascii="Arial" w:hAnsi="Arial" w:cs="Arial"/>
          <w:sz w:val="17"/>
          <w:szCs w:val="17"/>
        </w:rPr>
        <w:t>. Mediante escrito de 4 de agosto de 2020, las y los Consejeros Electorales Dra. Adriana Margarita Favela Herrera, Mtra. Dania Paola Ravel Cuevas, Mtro. Jaime Rivera Velázquez y Dr. José Roberto Ruiz Saldaña, solicitaron poner a consideración del Consejo General ejercer la facultad de atracción, para que se fijen fechas para la conclusión del periodo de precampañas y para recabar apoyo ciudadano, durante todos los Procesos Electorales Locales concurrentes con el Proceso Electoral Federal 2021.</w:t>
      </w:r>
    </w:p>
    <w:p w14:paraId="43C358AD" w14:textId="16A9064F" w:rsidR="00B1325B" w:rsidRPr="00EA6744" w:rsidRDefault="00B1325B" w:rsidP="00EA6744">
      <w:pPr>
        <w:spacing w:after="0" w:line="280" w:lineRule="exact"/>
        <w:jc w:val="both"/>
        <w:rPr>
          <w:rFonts w:ascii="Arial" w:hAnsi="Arial" w:cs="Arial"/>
          <w:sz w:val="17"/>
          <w:szCs w:val="17"/>
        </w:rPr>
      </w:pPr>
      <w:r w:rsidRPr="00EA6744">
        <w:rPr>
          <w:rFonts w:ascii="Arial" w:hAnsi="Arial" w:cs="Arial"/>
          <w:b/>
          <w:bCs/>
          <w:sz w:val="17"/>
          <w:szCs w:val="17"/>
        </w:rPr>
        <w:t>11. Resolución INE/CG187/2020</w:t>
      </w:r>
      <w:r w:rsidRPr="00EA6744">
        <w:rPr>
          <w:rFonts w:ascii="Arial" w:hAnsi="Arial" w:cs="Arial"/>
          <w:sz w:val="17"/>
          <w:szCs w:val="17"/>
        </w:rPr>
        <w:t>. En sesión extraordinaria celebrada el 7 de agosto de 2020, el Consejo General aprobó ejercer la facultad de atracción para ajustar a una fecha única la conclusión del periodo precampañas y el relativo para recabar apoyo ciudadano, para los procesos electorales locales concurrentes con el Proceso Electoral Federal 2021.</w:t>
      </w:r>
    </w:p>
    <w:p w14:paraId="3821F569" w14:textId="77777777" w:rsidR="00B1325B" w:rsidRPr="00EA6744" w:rsidRDefault="00B1325B" w:rsidP="00EA6744">
      <w:pPr>
        <w:spacing w:after="0" w:line="280" w:lineRule="exact"/>
        <w:jc w:val="both"/>
        <w:rPr>
          <w:rFonts w:ascii="Arial" w:hAnsi="Arial" w:cs="Arial"/>
          <w:sz w:val="17"/>
          <w:szCs w:val="17"/>
        </w:rPr>
      </w:pPr>
    </w:p>
    <w:p w14:paraId="0A53010D" w14:textId="49C94AE5" w:rsidR="00B1325B" w:rsidRPr="00EA6744" w:rsidRDefault="00B1325B" w:rsidP="00EA6744">
      <w:pPr>
        <w:spacing w:after="0" w:line="280" w:lineRule="exact"/>
        <w:jc w:val="both"/>
        <w:rPr>
          <w:rFonts w:ascii="Arial" w:hAnsi="Arial" w:cs="Arial"/>
          <w:sz w:val="17"/>
          <w:szCs w:val="17"/>
        </w:rPr>
      </w:pPr>
      <w:r w:rsidRPr="00EA6744">
        <w:rPr>
          <w:rFonts w:ascii="Arial" w:hAnsi="Arial" w:cs="Arial"/>
          <w:b/>
          <w:bCs/>
          <w:sz w:val="17"/>
          <w:szCs w:val="17"/>
        </w:rPr>
        <w:t>12. Impugnación de la resolución INE/CG187/2020</w:t>
      </w:r>
      <w:r w:rsidRPr="00EA6744">
        <w:rPr>
          <w:rFonts w:ascii="Arial" w:hAnsi="Arial" w:cs="Arial"/>
          <w:sz w:val="17"/>
          <w:szCs w:val="17"/>
        </w:rPr>
        <w:t>. Inconforme con la resolución anterior, el 13 de agosto siguiente, el Partido Revolucionario Institucional interpuso recurso de apelación el cual quedó registrado con el expediente SUP-RAP-46/2020, en el que, la Sala Superior del Tribunal Electoral del Poder Judicial de la Federación, resolvió revocar dicha resolución, a efecto de que este Instituto emitiera una nueva determinación de conformidad con las consideraciones establecidas en el fallo de referencia.</w:t>
      </w:r>
    </w:p>
    <w:p w14:paraId="079DEE86" w14:textId="50D44FEA" w:rsidR="00B1325B" w:rsidRPr="00EA6744" w:rsidRDefault="00B1325B" w:rsidP="00EA6744">
      <w:pPr>
        <w:spacing w:line="280" w:lineRule="exact"/>
        <w:jc w:val="both"/>
        <w:rPr>
          <w:rFonts w:ascii="Arial" w:hAnsi="Arial" w:cs="Arial"/>
          <w:sz w:val="17"/>
          <w:szCs w:val="17"/>
        </w:rPr>
      </w:pPr>
    </w:p>
    <w:p w14:paraId="0460E293" w14:textId="77777777" w:rsidR="00BD3FAD" w:rsidRPr="00EA6744" w:rsidRDefault="00BD3FAD" w:rsidP="00EA6744">
      <w:pPr>
        <w:spacing w:after="0" w:line="280" w:lineRule="exact"/>
        <w:jc w:val="center"/>
        <w:rPr>
          <w:rFonts w:ascii="Arial" w:hAnsi="Arial" w:cs="Arial"/>
          <w:b/>
          <w:bCs/>
          <w:sz w:val="17"/>
          <w:szCs w:val="17"/>
        </w:rPr>
      </w:pPr>
      <w:r w:rsidRPr="00EA6744">
        <w:rPr>
          <w:rFonts w:ascii="Arial" w:hAnsi="Arial" w:cs="Arial"/>
          <w:b/>
          <w:bCs/>
          <w:sz w:val="17"/>
          <w:szCs w:val="17"/>
        </w:rPr>
        <w:t>CONSIDERANDOS</w:t>
      </w:r>
    </w:p>
    <w:p w14:paraId="13E0C273" w14:textId="77777777" w:rsidR="00312652" w:rsidRPr="00EA6744" w:rsidRDefault="00E06D75" w:rsidP="00EA6744">
      <w:pPr>
        <w:spacing w:after="0" w:line="280" w:lineRule="exact"/>
        <w:ind w:right="78"/>
        <w:jc w:val="both"/>
        <w:rPr>
          <w:rFonts w:ascii="Arial" w:hAnsi="Arial" w:cs="Arial"/>
          <w:b/>
          <w:sz w:val="17"/>
          <w:szCs w:val="17"/>
        </w:rPr>
      </w:pPr>
      <w:r w:rsidRPr="00EA6744">
        <w:rPr>
          <w:rFonts w:ascii="Arial" w:hAnsi="Arial" w:cs="Arial"/>
          <w:b/>
          <w:sz w:val="17"/>
          <w:szCs w:val="17"/>
        </w:rPr>
        <w:t>…</w:t>
      </w:r>
    </w:p>
    <w:p w14:paraId="30906D3A" w14:textId="3B1A8AC5" w:rsidR="00E06D75" w:rsidRPr="00EA6744" w:rsidRDefault="00B1325B" w:rsidP="00EA6744">
      <w:pPr>
        <w:spacing w:after="0" w:line="280" w:lineRule="exact"/>
        <w:ind w:right="78"/>
        <w:jc w:val="both"/>
        <w:rPr>
          <w:rFonts w:ascii="Arial" w:hAnsi="Arial" w:cs="Arial"/>
          <w:sz w:val="17"/>
          <w:szCs w:val="17"/>
        </w:rPr>
      </w:pPr>
      <w:r w:rsidRPr="00EA6744">
        <w:rPr>
          <w:rFonts w:ascii="Arial" w:hAnsi="Arial" w:cs="Arial"/>
          <w:b/>
          <w:sz w:val="17"/>
          <w:szCs w:val="17"/>
        </w:rPr>
        <w:t>5</w:t>
      </w:r>
      <w:r w:rsidR="00E06D75" w:rsidRPr="00EA6744">
        <w:rPr>
          <w:rFonts w:ascii="Arial" w:hAnsi="Arial" w:cs="Arial"/>
          <w:b/>
          <w:sz w:val="17"/>
          <w:szCs w:val="17"/>
        </w:rPr>
        <w:t>. Conclusión…</w:t>
      </w:r>
      <w:r w:rsidR="00E06D75" w:rsidRPr="00EA6744">
        <w:rPr>
          <w:rFonts w:ascii="Arial" w:hAnsi="Arial" w:cs="Arial"/>
          <w:sz w:val="17"/>
          <w:szCs w:val="17"/>
        </w:rPr>
        <w:t xml:space="preserve"> Por la importancia, trascendencia y complejidad de la organización y desarrollo del PEF 2020-2021 concurrente con treinta y dos procesos locales, es procedente ejercer la facultad de atracción a fin de </w:t>
      </w:r>
      <w:r w:rsidR="00E06D75" w:rsidRPr="00EA6744">
        <w:rPr>
          <w:rFonts w:ascii="Arial" w:hAnsi="Arial" w:cs="Arial"/>
          <w:b/>
          <w:bCs/>
          <w:sz w:val="17"/>
          <w:szCs w:val="17"/>
        </w:rPr>
        <w:t>establecer la fecha por</w:t>
      </w:r>
      <w:r w:rsidR="00E06D75" w:rsidRPr="00EA6744">
        <w:rPr>
          <w:rFonts w:ascii="Arial" w:hAnsi="Arial" w:cs="Arial"/>
          <w:b/>
          <w:sz w:val="17"/>
          <w:szCs w:val="17"/>
        </w:rPr>
        <w:t xml:space="preserve"> bloques para la conclusión de las precampañas y los periodos para recabar apoyo ciudadano de todos los aspirantes a candidatos independientes, federales y locales, </w:t>
      </w:r>
      <w:r w:rsidR="00E06D75" w:rsidRPr="00EA6744">
        <w:rPr>
          <w:rFonts w:ascii="Arial" w:hAnsi="Arial" w:cs="Arial"/>
          <w:sz w:val="17"/>
          <w:szCs w:val="17"/>
        </w:rPr>
        <w:t xml:space="preserve">lo que permitirá cumplir con las atribuciones que fueron otorgadas al INE, así como a los OPL. </w:t>
      </w:r>
    </w:p>
    <w:p w14:paraId="2FBB0D6F" w14:textId="6FC20C9A" w:rsidR="00E06D75" w:rsidRPr="00EA6744" w:rsidRDefault="00E06D75" w:rsidP="00480F7F">
      <w:pPr>
        <w:spacing w:after="0" w:line="300" w:lineRule="exact"/>
        <w:ind w:right="82"/>
        <w:jc w:val="both"/>
        <w:rPr>
          <w:rFonts w:ascii="Arial" w:hAnsi="Arial" w:cs="Arial"/>
          <w:sz w:val="17"/>
          <w:szCs w:val="17"/>
        </w:rPr>
      </w:pPr>
    </w:p>
    <w:p w14:paraId="026A764C" w14:textId="77777777" w:rsidR="00480F7F" w:rsidRPr="00EA6744" w:rsidRDefault="00480F7F" w:rsidP="00480F7F">
      <w:pPr>
        <w:spacing w:after="0" w:line="300" w:lineRule="exact"/>
        <w:ind w:right="82"/>
        <w:jc w:val="both"/>
        <w:rPr>
          <w:rFonts w:ascii="Arial" w:hAnsi="Arial" w:cs="Arial"/>
          <w:sz w:val="17"/>
          <w:szCs w:val="17"/>
        </w:rPr>
      </w:pPr>
    </w:p>
    <w:p w14:paraId="35FF1A1D" w14:textId="77777777" w:rsidR="00E06D75" w:rsidRPr="00EA6744" w:rsidRDefault="00E06D75" w:rsidP="0098343A">
      <w:pPr>
        <w:spacing w:after="0" w:line="240" w:lineRule="exact"/>
        <w:ind w:right="82"/>
        <w:jc w:val="both"/>
        <w:rPr>
          <w:rFonts w:ascii="Arial" w:hAnsi="Arial" w:cs="Arial"/>
          <w:sz w:val="17"/>
          <w:szCs w:val="17"/>
        </w:rPr>
      </w:pPr>
      <w:r w:rsidRPr="00EA6744">
        <w:rPr>
          <w:rFonts w:ascii="Arial" w:hAnsi="Arial" w:cs="Arial"/>
          <w:sz w:val="17"/>
          <w:szCs w:val="17"/>
        </w:rPr>
        <w:t xml:space="preserve">Asimismo, el análisis de la importancia de </w:t>
      </w:r>
      <w:r w:rsidRPr="00EA6744">
        <w:rPr>
          <w:rFonts w:ascii="Arial" w:hAnsi="Arial" w:cs="Arial"/>
          <w:b/>
          <w:sz w:val="17"/>
          <w:szCs w:val="17"/>
        </w:rPr>
        <w:t>homologar los calendarios electorales</w:t>
      </w:r>
      <w:r w:rsidRPr="00EA6744">
        <w:rPr>
          <w:rFonts w:ascii="Arial" w:hAnsi="Arial" w:cs="Arial"/>
          <w:sz w:val="17"/>
          <w:szCs w:val="17"/>
        </w:rPr>
        <w:t xml:space="preserve"> de aquellas entidades federativas que tendrán Proceso Electoral concurrente con las elecciones federales de 2021, planteado en este Acuerdo, se justifica porque los trabajos de fiscalización, asignación de tiempos del Estado en radio y televisión, capacitación electoral, monitoreo, diseño e impresión, producción y almacenamiento, y distribución de los documentos y materiales electorales en los comicios federales y locales, son de vital importancia para el sano y adecuado desarrollo de dichos procesos, pues de no ocurrir así, se ponen en riesgo la totalidad de la Jornada Electoral y lo que ello conlleva, poniendo en riesgo además de la elección, los principios democráticos a que este Instituto está obligado observar, respetar y hacer guardar. </w:t>
      </w:r>
    </w:p>
    <w:p w14:paraId="1699AC9F" w14:textId="77777777" w:rsidR="00E06D75" w:rsidRPr="00EA6744" w:rsidRDefault="00E06D75" w:rsidP="0098343A">
      <w:pPr>
        <w:spacing w:after="0" w:line="240" w:lineRule="exact"/>
        <w:ind w:left="994"/>
        <w:jc w:val="both"/>
        <w:rPr>
          <w:rFonts w:ascii="Arial" w:hAnsi="Arial" w:cs="Arial"/>
          <w:sz w:val="17"/>
          <w:szCs w:val="17"/>
        </w:rPr>
      </w:pPr>
    </w:p>
    <w:p w14:paraId="207FFA53" w14:textId="77777777" w:rsidR="00E06D75" w:rsidRPr="00EA6744" w:rsidRDefault="00E06D75" w:rsidP="0098343A">
      <w:pPr>
        <w:spacing w:after="0" w:line="240" w:lineRule="exact"/>
        <w:ind w:right="82"/>
        <w:jc w:val="both"/>
        <w:rPr>
          <w:rFonts w:ascii="Arial" w:hAnsi="Arial" w:cs="Arial"/>
          <w:sz w:val="17"/>
          <w:szCs w:val="17"/>
        </w:rPr>
      </w:pPr>
      <w:r w:rsidRPr="00EA6744">
        <w:rPr>
          <w:rFonts w:ascii="Arial" w:hAnsi="Arial" w:cs="Arial"/>
          <w:sz w:val="17"/>
          <w:szCs w:val="17"/>
        </w:rPr>
        <w:t xml:space="preserve">La definición de </w:t>
      </w:r>
      <w:r w:rsidRPr="00EA6744">
        <w:rPr>
          <w:rFonts w:ascii="Arial" w:hAnsi="Arial" w:cs="Arial"/>
          <w:b/>
          <w:sz w:val="17"/>
          <w:szCs w:val="17"/>
        </w:rPr>
        <w:t>etapas y relaciones institucionales homogéneas</w:t>
      </w:r>
      <w:r w:rsidRPr="00EA6744">
        <w:rPr>
          <w:rFonts w:ascii="Arial" w:hAnsi="Arial" w:cs="Arial"/>
          <w:sz w:val="17"/>
          <w:szCs w:val="17"/>
        </w:rPr>
        <w:t xml:space="preserve"> permitirán llevar a cabo una adecuada coordinación y un puntual seguimiento del Proceso Electoral mismo que se traduce en el logro de los objetivos institucionales y en la promoción de certeza y claridad al interior y exterior del Instituto…  </w:t>
      </w:r>
    </w:p>
    <w:p w14:paraId="68B2FC38" w14:textId="77777777" w:rsidR="0072005D" w:rsidRPr="00EA6744" w:rsidRDefault="0072005D" w:rsidP="0098343A">
      <w:pPr>
        <w:spacing w:after="0" w:line="240" w:lineRule="exact"/>
        <w:ind w:right="82"/>
        <w:jc w:val="both"/>
        <w:rPr>
          <w:rFonts w:ascii="Arial" w:hAnsi="Arial" w:cs="Arial"/>
          <w:sz w:val="17"/>
          <w:szCs w:val="17"/>
        </w:rPr>
      </w:pPr>
      <w:r w:rsidRPr="00EA6744">
        <w:rPr>
          <w:rFonts w:ascii="Arial" w:hAnsi="Arial" w:cs="Arial"/>
          <w:sz w:val="17"/>
          <w:szCs w:val="17"/>
        </w:rPr>
        <w:t>…</w:t>
      </w:r>
    </w:p>
    <w:p w14:paraId="3582E7C8" w14:textId="77777777" w:rsidR="00E06D75" w:rsidRPr="00EA6744" w:rsidRDefault="00E06D75" w:rsidP="0098343A">
      <w:pPr>
        <w:spacing w:after="0" w:line="240" w:lineRule="exact"/>
        <w:ind w:right="82"/>
        <w:jc w:val="both"/>
        <w:rPr>
          <w:rFonts w:ascii="Arial" w:hAnsi="Arial" w:cs="Arial"/>
          <w:sz w:val="17"/>
          <w:szCs w:val="17"/>
        </w:rPr>
      </w:pPr>
      <w:r w:rsidRPr="00EA6744">
        <w:rPr>
          <w:rFonts w:ascii="Arial" w:hAnsi="Arial" w:cs="Arial"/>
          <w:sz w:val="17"/>
          <w:szCs w:val="17"/>
        </w:rPr>
        <w:t>Por lo expuesto y fundado, este órgano resuelve.</w:t>
      </w:r>
    </w:p>
    <w:p w14:paraId="7A02ABA9" w14:textId="77777777" w:rsidR="008D54CA" w:rsidRPr="00EA6744" w:rsidRDefault="008D54CA" w:rsidP="0098343A">
      <w:pPr>
        <w:spacing w:after="0" w:line="240" w:lineRule="exact"/>
        <w:ind w:right="82"/>
        <w:jc w:val="both"/>
        <w:rPr>
          <w:rFonts w:ascii="Arial" w:hAnsi="Arial" w:cs="Arial"/>
          <w:sz w:val="17"/>
          <w:szCs w:val="17"/>
        </w:rPr>
      </w:pPr>
    </w:p>
    <w:p w14:paraId="53806196" w14:textId="77777777" w:rsidR="00E06D75" w:rsidRPr="00EA6744" w:rsidRDefault="00E06D75" w:rsidP="0098343A">
      <w:pPr>
        <w:spacing w:line="240" w:lineRule="exact"/>
        <w:jc w:val="center"/>
        <w:rPr>
          <w:rFonts w:ascii="Arial" w:hAnsi="Arial" w:cs="Arial"/>
          <w:b/>
          <w:bCs/>
          <w:sz w:val="17"/>
          <w:szCs w:val="17"/>
        </w:rPr>
      </w:pPr>
      <w:r w:rsidRPr="00EA6744">
        <w:rPr>
          <w:rFonts w:ascii="Arial" w:hAnsi="Arial" w:cs="Arial"/>
          <w:b/>
          <w:bCs/>
          <w:sz w:val="17"/>
          <w:szCs w:val="17"/>
        </w:rPr>
        <w:t>R E S O L U T I V O S</w:t>
      </w:r>
    </w:p>
    <w:p w14:paraId="7F2CA69B" w14:textId="77777777" w:rsidR="00B633B6" w:rsidRPr="00EA6744" w:rsidRDefault="00E06D75" w:rsidP="0098343A">
      <w:pPr>
        <w:spacing w:after="0" w:line="240" w:lineRule="exact"/>
        <w:ind w:right="82"/>
        <w:jc w:val="both"/>
        <w:rPr>
          <w:rFonts w:ascii="Arial" w:hAnsi="Arial" w:cs="Arial"/>
          <w:sz w:val="17"/>
          <w:szCs w:val="17"/>
        </w:rPr>
      </w:pPr>
      <w:r w:rsidRPr="00EA6744">
        <w:rPr>
          <w:rFonts w:ascii="Arial" w:hAnsi="Arial" w:cs="Arial"/>
          <w:b/>
          <w:sz w:val="17"/>
          <w:szCs w:val="17"/>
        </w:rPr>
        <w:t>PRIMERO.</w:t>
      </w:r>
      <w:r w:rsidRPr="00EA6744">
        <w:rPr>
          <w:rFonts w:ascii="Arial" w:hAnsi="Arial" w:cs="Arial"/>
          <w:sz w:val="17"/>
          <w:szCs w:val="17"/>
        </w:rPr>
        <w:t xml:space="preserve"> Se e</w:t>
      </w:r>
      <w:r w:rsidR="0072005D" w:rsidRPr="00EA6744">
        <w:rPr>
          <w:rFonts w:ascii="Arial" w:hAnsi="Arial" w:cs="Arial"/>
          <w:sz w:val="17"/>
          <w:szCs w:val="17"/>
        </w:rPr>
        <w:t>jerce la facultad de atracción y</w:t>
      </w:r>
      <w:r w:rsidRPr="00EA6744">
        <w:rPr>
          <w:rFonts w:ascii="Arial" w:hAnsi="Arial" w:cs="Arial"/>
          <w:sz w:val="17"/>
          <w:szCs w:val="17"/>
        </w:rPr>
        <w:t xml:space="preserve"> para los procesos electorales Federal y locales, se establece la fecha de término de las precampañas</w:t>
      </w:r>
      <w:r w:rsidR="00B633B6" w:rsidRPr="00EA6744">
        <w:rPr>
          <w:rFonts w:ascii="Arial" w:hAnsi="Arial" w:cs="Arial"/>
          <w:sz w:val="17"/>
          <w:szCs w:val="17"/>
        </w:rPr>
        <w:t>…</w:t>
      </w:r>
    </w:p>
    <w:p w14:paraId="6F0096D2" w14:textId="77777777" w:rsidR="00312652" w:rsidRPr="00EA6744" w:rsidRDefault="00312652" w:rsidP="0098343A">
      <w:pPr>
        <w:spacing w:after="0" w:line="240" w:lineRule="exact"/>
        <w:ind w:right="82"/>
        <w:jc w:val="both"/>
        <w:rPr>
          <w:rFonts w:ascii="Arial" w:hAnsi="Arial" w:cs="Arial"/>
          <w:sz w:val="17"/>
          <w:szCs w:val="17"/>
        </w:rPr>
      </w:pPr>
      <w:r w:rsidRPr="00EA6744">
        <w:rPr>
          <w:rFonts w:ascii="Arial" w:hAnsi="Arial" w:cs="Arial"/>
          <w:sz w:val="17"/>
          <w:szCs w:val="17"/>
        </w:rPr>
        <w:t>…</w:t>
      </w:r>
    </w:p>
    <w:p w14:paraId="04A6E2B7" w14:textId="044A7F50" w:rsidR="00BD3FAD" w:rsidRPr="00EA6744" w:rsidRDefault="00B633B6" w:rsidP="0098343A">
      <w:pPr>
        <w:spacing w:after="0" w:line="240" w:lineRule="exact"/>
        <w:ind w:right="82"/>
        <w:jc w:val="both"/>
        <w:rPr>
          <w:rFonts w:ascii="Arial" w:hAnsi="Arial" w:cs="Arial"/>
          <w:sz w:val="17"/>
          <w:szCs w:val="17"/>
        </w:rPr>
      </w:pPr>
      <w:r w:rsidRPr="00EA6744">
        <w:rPr>
          <w:rFonts w:ascii="Arial" w:hAnsi="Arial" w:cs="Arial"/>
          <w:sz w:val="17"/>
          <w:szCs w:val="17"/>
        </w:rPr>
        <w:t xml:space="preserve">El contenido completo se encuentra disponible para su consulta en la dirección electrónica: </w:t>
      </w:r>
    </w:p>
    <w:p w14:paraId="3902C813" w14:textId="5AB8A52B" w:rsidR="00B1325B" w:rsidRPr="00EA6744" w:rsidRDefault="00B1325B" w:rsidP="0098343A">
      <w:pPr>
        <w:spacing w:after="0" w:line="240" w:lineRule="exact"/>
        <w:ind w:right="82"/>
        <w:jc w:val="both"/>
        <w:rPr>
          <w:rFonts w:ascii="Arial" w:hAnsi="Arial" w:cs="Arial"/>
          <w:sz w:val="17"/>
          <w:szCs w:val="17"/>
        </w:rPr>
      </w:pPr>
    </w:p>
    <w:p w14:paraId="258BB7AA" w14:textId="29DC4BC7" w:rsidR="002F6708" w:rsidRPr="00EA6744" w:rsidRDefault="007209C5" w:rsidP="0098343A">
      <w:pPr>
        <w:pStyle w:val="Prrafodelista"/>
        <w:autoSpaceDE w:val="0"/>
        <w:autoSpaceDN w:val="0"/>
        <w:adjustRightInd w:val="0"/>
        <w:spacing w:after="0" w:line="240" w:lineRule="exact"/>
        <w:ind w:left="0" w:firstLine="0"/>
        <w:rPr>
          <w:rStyle w:val="Hipervnculo"/>
          <w:sz w:val="17"/>
          <w:szCs w:val="17"/>
        </w:rPr>
      </w:pPr>
      <w:hyperlink r:id="rId7" w:history="1">
        <w:r w:rsidR="002F6708" w:rsidRPr="00EA6744">
          <w:rPr>
            <w:rStyle w:val="Hipervnculo"/>
            <w:sz w:val="17"/>
            <w:szCs w:val="17"/>
          </w:rPr>
          <w:t>https://www.ine.mx/sesion-extraordinaria-del-consejo-general-11-de-septiembre-de-2020/</w:t>
        </w:r>
      </w:hyperlink>
    </w:p>
    <w:p w14:paraId="0353D09D" w14:textId="4176B6CE" w:rsidR="002F6708" w:rsidRPr="00EA6744" w:rsidRDefault="002F6708" w:rsidP="0098343A">
      <w:pPr>
        <w:pStyle w:val="Prrafodelista"/>
        <w:autoSpaceDE w:val="0"/>
        <w:autoSpaceDN w:val="0"/>
        <w:adjustRightInd w:val="0"/>
        <w:spacing w:after="0" w:line="240" w:lineRule="exact"/>
        <w:ind w:left="0" w:firstLine="0"/>
        <w:rPr>
          <w:rStyle w:val="Hipervnculo"/>
          <w:sz w:val="17"/>
          <w:szCs w:val="17"/>
        </w:rPr>
      </w:pPr>
    </w:p>
    <w:p w14:paraId="7C11C7B3" w14:textId="5668FB4B" w:rsidR="002F6708" w:rsidRPr="00EA6744" w:rsidRDefault="002F6708" w:rsidP="0098343A">
      <w:pPr>
        <w:shd w:val="clear" w:color="auto" w:fill="FFFFFF"/>
        <w:spacing w:after="0" w:line="240" w:lineRule="exact"/>
        <w:ind w:right="48"/>
        <w:jc w:val="both"/>
        <w:rPr>
          <w:rFonts w:ascii="Arial" w:eastAsia="Times New Roman" w:hAnsi="Arial" w:cs="Arial"/>
          <w:color w:val="2F2F2F"/>
          <w:sz w:val="17"/>
          <w:szCs w:val="17"/>
          <w:lang w:val="en-US" w:eastAsia="es-MX"/>
        </w:rPr>
      </w:pPr>
      <w:r w:rsidRPr="00EA6744">
        <w:rPr>
          <w:rFonts w:ascii="Arial" w:eastAsia="Times New Roman" w:hAnsi="Arial" w:cs="Arial"/>
          <w:b/>
          <w:bCs/>
          <w:color w:val="2F2F2F"/>
          <w:sz w:val="17"/>
          <w:szCs w:val="17"/>
          <w:lang w:val="en-US" w:eastAsia="es-MX"/>
        </w:rPr>
        <w:t>DOF:</w:t>
      </w:r>
      <w:r w:rsidRPr="00EA6744">
        <w:rPr>
          <w:rFonts w:ascii="Arial" w:eastAsia="Times New Roman" w:hAnsi="Arial" w:cs="Arial"/>
          <w:color w:val="2F2F2F"/>
          <w:sz w:val="17"/>
          <w:szCs w:val="17"/>
          <w:lang w:val="en-US" w:eastAsia="es-MX"/>
        </w:rPr>
        <w:t xml:space="preserve"> </w:t>
      </w:r>
      <w:r w:rsidRPr="00EA6744">
        <w:rPr>
          <w:rFonts w:ascii="Arial" w:hAnsi="Arial" w:cs="Arial"/>
          <w:color w:val="2F2F2F"/>
          <w:sz w:val="17"/>
          <w:szCs w:val="17"/>
          <w:u w:val="single"/>
          <w:shd w:val="clear" w:color="auto" w:fill="FFFFFF"/>
          <w:lang w:val="en-US"/>
        </w:rPr>
        <w:t>www.dof.gob.mx/2020/INE/CGext202009_11_rp_2.pdf</w:t>
      </w:r>
    </w:p>
    <w:p w14:paraId="6A52462C" w14:textId="77777777" w:rsidR="00480F7F" w:rsidRPr="00EA6744" w:rsidRDefault="00480F7F" w:rsidP="0098343A">
      <w:pPr>
        <w:spacing w:after="0" w:line="240" w:lineRule="exact"/>
        <w:rPr>
          <w:rFonts w:ascii="Arial" w:eastAsia="Times New Roman" w:hAnsi="Arial" w:cs="Arial"/>
          <w:color w:val="2F2F2F"/>
          <w:sz w:val="17"/>
          <w:szCs w:val="17"/>
          <w:lang w:eastAsia="es-MX"/>
        </w:rPr>
      </w:pPr>
    </w:p>
    <w:p w14:paraId="715AF301" w14:textId="5BF1EBF7" w:rsidR="00480F7F" w:rsidRPr="00EA6744" w:rsidRDefault="00480F7F" w:rsidP="0098343A">
      <w:pPr>
        <w:spacing w:after="0" w:line="240" w:lineRule="exact"/>
        <w:jc w:val="right"/>
        <w:rPr>
          <w:rFonts w:ascii="Arial" w:eastAsia="Times New Roman" w:hAnsi="Arial" w:cs="Arial"/>
          <w:color w:val="2F2F2F"/>
          <w:sz w:val="17"/>
          <w:szCs w:val="17"/>
          <w:lang w:eastAsia="es-MX"/>
        </w:rPr>
      </w:pPr>
      <w:r w:rsidRPr="00EA6744">
        <w:rPr>
          <w:rFonts w:ascii="Arial" w:eastAsia="Times New Roman" w:hAnsi="Arial" w:cs="Arial"/>
          <w:color w:val="2F2F2F"/>
          <w:sz w:val="17"/>
          <w:szCs w:val="17"/>
          <w:lang w:eastAsia="es-MX"/>
        </w:rPr>
        <w:t>Ciudad de México, a 11 de septiembre de 2020.</w:t>
      </w:r>
    </w:p>
    <w:p w14:paraId="49295237" w14:textId="77777777" w:rsidR="00480F7F" w:rsidRPr="00F304C4" w:rsidRDefault="00480F7F" w:rsidP="00F304C4">
      <w:pPr>
        <w:spacing w:after="0" w:line="240" w:lineRule="auto"/>
        <w:rPr>
          <w:rFonts w:ascii="Arial" w:eastAsia="Times New Roman" w:hAnsi="Arial" w:cs="Arial"/>
          <w:color w:val="2F2F2F"/>
          <w:sz w:val="16"/>
          <w:szCs w:val="16"/>
          <w:lang w:eastAsia="es-MX"/>
        </w:rPr>
      </w:pPr>
    </w:p>
    <w:p w14:paraId="5143F4B3" w14:textId="77777777" w:rsidR="00480F7F" w:rsidRPr="00F304C4" w:rsidRDefault="00480F7F" w:rsidP="00F304C4">
      <w:pPr>
        <w:spacing w:after="0" w:line="240" w:lineRule="auto"/>
        <w:rPr>
          <w:rFonts w:ascii="Arial" w:eastAsia="Times New Roman" w:hAnsi="Arial" w:cs="Arial"/>
          <w:color w:val="2F2F2F"/>
          <w:sz w:val="16"/>
          <w:szCs w:val="16"/>
          <w:lang w:eastAsia="es-MX"/>
        </w:rPr>
      </w:pPr>
    </w:p>
    <w:p w14:paraId="370F665F" w14:textId="77777777" w:rsidR="00480F7F" w:rsidRPr="00F304C4" w:rsidRDefault="00480F7F" w:rsidP="00F304C4">
      <w:pPr>
        <w:spacing w:after="0" w:line="240" w:lineRule="auto"/>
        <w:rPr>
          <w:rFonts w:ascii="Arial" w:eastAsia="Times New Roman" w:hAnsi="Arial" w:cs="Arial"/>
          <w:color w:val="2F2F2F"/>
          <w:sz w:val="16"/>
          <w:szCs w:val="16"/>
          <w:lang w:eastAsia="es-MX"/>
        </w:rPr>
      </w:pPr>
    </w:p>
    <w:p w14:paraId="64D72134"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r w:rsidRPr="00C35479">
        <w:rPr>
          <w:rFonts w:ascii="Arial" w:eastAsia="Times New Roman" w:hAnsi="Arial" w:cs="Arial"/>
          <w:b/>
          <w:color w:val="2F2F2F"/>
          <w:lang w:eastAsia="es-MX"/>
        </w:rPr>
        <w:t>El Secretario Ejecutivo</w:t>
      </w:r>
    </w:p>
    <w:p w14:paraId="2C21A7CD"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222F2A22"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067018D8" w14:textId="77777777" w:rsidR="00480F7F"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1575DCAE" w14:textId="77777777" w:rsidR="00480F7F"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659FBA41"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3BB92E8C"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4A3B9005"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6A10DD84" w14:textId="77777777" w:rsidR="00480F7F" w:rsidRPr="00C35479" w:rsidRDefault="00480F7F" w:rsidP="00480F7F">
      <w:pPr>
        <w:shd w:val="clear" w:color="auto" w:fill="FFFFFF"/>
        <w:spacing w:after="0" w:line="220" w:lineRule="exact"/>
        <w:ind w:right="45"/>
        <w:jc w:val="center"/>
        <w:rPr>
          <w:rFonts w:ascii="Arial" w:eastAsia="Times New Roman" w:hAnsi="Arial" w:cs="Arial"/>
          <w:b/>
          <w:color w:val="2F2F2F"/>
          <w:lang w:eastAsia="es-MX"/>
        </w:rPr>
      </w:pPr>
    </w:p>
    <w:p w14:paraId="240EF8A8" w14:textId="77777777" w:rsidR="00480F7F" w:rsidRPr="00C35479" w:rsidRDefault="00480F7F" w:rsidP="00480F7F">
      <w:pPr>
        <w:shd w:val="clear" w:color="auto" w:fill="FFFFFF"/>
        <w:spacing w:after="0" w:line="220" w:lineRule="exact"/>
        <w:ind w:right="45"/>
        <w:jc w:val="center"/>
        <w:rPr>
          <w:b/>
        </w:rPr>
      </w:pPr>
      <w:r w:rsidRPr="00C35479">
        <w:rPr>
          <w:rFonts w:ascii="Arial" w:eastAsia="Times New Roman" w:hAnsi="Arial" w:cs="Arial"/>
          <w:b/>
          <w:bCs/>
          <w:color w:val="2F2F2F"/>
          <w:lang w:eastAsia="es-MX"/>
        </w:rPr>
        <w:t>Lic.</w:t>
      </w:r>
      <w:r w:rsidRPr="00C35479">
        <w:rPr>
          <w:rFonts w:ascii="Arial" w:eastAsia="Times New Roman" w:hAnsi="Arial" w:cs="Arial"/>
          <w:b/>
          <w:color w:val="2F2F2F"/>
          <w:lang w:eastAsia="es-MX"/>
        </w:rPr>
        <w:t xml:space="preserve"> </w:t>
      </w:r>
      <w:r w:rsidRPr="00C35479">
        <w:rPr>
          <w:rFonts w:ascii="Arial" w:eastAsia="Times New Roman" w:hAnsi="Arial" w:cs="Arial"/>
          <w:b/>
          <w:bCs/>
          <w:color w:val="2F2F2F"/>
          <w:lang w:eastAsia="es-MX"/>
        </w:rPr>
        <w:t>Edmundo Jacobo Molina</w:t>
      </w:r>
    </w:p>
    <w:p w14:paraId="6D66077D" w14:textId="77777777" w:rsidR="00480F7F" w:rsidRPr="001305AF" w:rsidRDefault="00480F7F" w:rsidP="00480F7F">
      <w:pPr>
        <w:spacing w:after="0" w:line="240" w:lineRule="auto"/>
        <w:rPr>
          <w:sz w:val="16"/>
          <w:szCs w:val="16"/>
        </w:rPr>
      </w:pPr>
    </w:p>
    <w:p w14:paraId="4D1A3CF4" w14:textId="77777777" w:rsidR="00B1325B" w:rsidRPr="00312652" w:rsidRDefault="00B1325B" w:rsidP="00B633B6">
      <w:pPr>
        <w:spacing w:after="0" w:line="240" w:lineRule="auto"/>
        <w:ind w:right="82"/>
        <w:jc w:val="both"/>
        <w:rPr>
          <w:rFonts w:ascii="Arial" w:hAnsi="Arial" w:cs="Arial"/>
          <w:sz w:val="15"/>
          <w:szCs w:val="15"/>
        </w:rPr>
      </w:pPr>
    </w:p>
    <w:p w14:paraId="664EC889" w14:textId="77777777" w:rsidR="00BD3FAD" w:rsidRPr="00BD3FAD" w:rsidRDefault="00BD3FAD" w:rsidP="008D54CA">
      <w:pPr>
        <w:spacing w:line="240" w:lineRule="auto"/>
        <w:jc w:val="center"/>
        <w:rPr>
          <w:b/>
          <w:bCs/>
        </w:rPr>
      </w:pPr>
    </w:p>
    <w:sectPr w:rsidR="00BD3FAD" w:rsidRPr="00BD3FAD" w:rsidSect="00F068A4">
      <w:footerReference w:type="default" r:id="rId8"/>
      <w:pgSz w:w="12240" w:h="15840"/>
      <w:pgMar w:top="2977" w:right="160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11848" w14:textId="77777777" w:rsidR="007209C5" w:rsidRDefault="007209C5" w:rsidP="00434444">
      <w:pPr>
        <w:spacing w:after="0" w:line="240" w:lineRule="auto"/>
      </w:pPr>
      <w:r>
        <w:separator/>
      </w:r>
    </w:p>
  </w:endnote>
  <w:endnote w:type="continuationSeparator" w:id="0">
    <w:p w14:paraId="6896A775" w14:textId="77777777" w:rsidR="007209C5" w:rsidRDefault="007209C5" w:rsidP="0043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182969480"/>
      <w:docPartObj>
        <w:docPartGallery w:val="Page Numbers (Bottom of Page)"/>
        <w:docPartUnique/>
      </w:docPartObj>
    </w:sdtPr>
    <w:sdtEndPr/>
    <w:sdtContent>
      <w:p w14:paraId="706CA2D2" w14:textId="1B5A533F" w:rsidR="00434444" w:rsidRPr="00434444" w:rsidRDefault="00434444" w:rsidP="00434444">
        <w:pPr>
          <w:pStyle w:val="Piedepgina"/>
          <w:jc w:val="center"/>
          <w:rPr>
            <w:rFonts w:ascii="Arial" w:hAnsi="Arial" w:cs="Arial"/>
            <w:sz w:val="20"/>
            <w:szCs w:val="20"/>
          </w:rPr>
        </w:pPr>
        <w:r w:rsidRPr="00434444">
          <w:rPr>
            <w:rFonts w:ascii="Arial" w:hAnsi="Arial" w:cs="Arial"/>
            <w:sz w:val="20"/>
            <w:szCs w:val="20"/>
          </w:rPr>
          <w:fldChar w:fldCharType="begin"/>
        </w:r>
        <w:r w:rsidRPr="00434444">
          <w:rPr>
            <w:rFonts w:ascii="Arial" w:hAnsi="Arial" w:cs="Arial"/>
            <w:sz w:val="20"/>
            <w:szCs w:val="20"/>
          </w:rPr>
          <w:instrText>PAGE   \* MERGEFORMAT</w:instrText>
        </w:r>
        <w:r w:rsidRPr="00434444">
          <w:rPr>
            <w:rFonts w:ascii="Arial" w:hAnsi="Arial" w:cs="Arial"/>
            <w:sz w:val="20"/>
            <w:szCs w:val="20"/>
          </w:rPr>
          <w:fldChar w:fldCharType="separate"/>
        </w:r>
        <w:r w:rsidR="00F068A4" w:rsidRPr="00F068A4">
          <w:rPr>
            <w:rFonts w:ascii="Arial" w:hAnsi="Arial" w:cs="Arial"/>
            <w:noProof/>
            <w:sz w:val="20"/>
            <w:szCs w:val="20"/>
            <w:lang w:val="es-ES"/>
          </w:rPr>
          <w:t>2</w:t>
        </w:r>
        <w:r w:rsidRPr="00434444">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B81A" w14:textId="77777777" w:rsidR="007209C5" w:rsidRDefault="007209C5" w:rsidP="00434444">
      <w:pPr>
        <w:spacing w:after="0" w:line="240" w:lineRule="auto"/>
      </w:pPr>
      <w:r>
        <w:separator/>
      </w:r>
    </w:p>
  </w:footnote>
  <w:footnote w:type="continuationSeparator" w:id="0">
    <w:p w14:paraId="162ADFA3" w14:textId="77777777" w:rsidR="007209C5" w:rsidRDefault="007209C5" w:rsidP="00434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0407"/>
    <w:multiLevelType w:val="hybridMultilevel"/>
    <w:tmpl w:val="7E36629A"/>
    <w:lvl w:ilvl="0" w:tplc="22904774">
      <w:start w:val="1"/>
      <w:numFmt w:val="decimal"/>
      <w:lvlText w:val="%1."/>
      <w:lvlJc w:val="left"/>
      <w:pPr>
        <w:ind w:left="989"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BC3CC4B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9D3484A4">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17EC3FF2">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9BA2428A">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1EE22C1E">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CE0C5AE6">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3AA6B40">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E6ECA5B0">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72"/>
    <w:rsid w:val="00263465"/>
    <w:rsid w:val="002F6708"/>
    <w:rsid w:val="00312652"/>
    <w:rsid w:val="00434444"/>
    <w:rsid w:val="00480F7F"/>
    <w:rsid w:val="004D536A"/>
    <w:rsid w:val="00701C25"/>
    <w:rsid w:val="0072005D"/>
    <w:rsid w:val="007209C5"/>
    <w:rsid w:val="007341CD"/>
    <w:rsid w:val="008D54CA"/>
    <w:rsid w:val="0098343A"/>
    <w:rsid w:val="00B1325B"/>
    <w:rsid w:val="00B633B6"/>
    <w:rsid w:val="00BD3FAD"/>
    <w:rsid w:val="00C30868"/>
    <w:rsid w:val="00E06D75"/>
    <w:rsid w:val="00EA6744"/>
    <w:rsid w:val="00EF7772"/>
    <w:rsid w:val="00F068A4"/>
    <w:rsid w:val="00F22296"/>
    <w:rsid w:val="00F304C4"/>
    <w:rsid w:val="00FD6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B2E2"/>
  <w15:chartTrackingRefBased/>
  <w15:docId w15:val="{FA727785-5D08-4C91-8EF5-CCB48F64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0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6D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633B6"/>
    <w:rPr>
      <w:color w:val="0000FF"/>
      <w:u w:val="single"/>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List Paragraph-Thesis Car,Dot pt Car"/>
    <w:link w:val="Prrafodelista"/>
    <w:uiPriority w:val="34"/>
    <w:qFormat/>
    <w:locked/>
    <w:rsid w:val="00B1325B"/>
    <w:rPr>
      <w:rFonts w:ascii="Arial" w:eastAsia="Arial" w:hAnsi="Arial" w:cs="Arial"/>
      <w:color w:val="000000"/>
      <w:sz w:val="24"/>
    </w:rPr>
  </w:style>
  <w:style w:type="paragraph" w:styleId="Prrafodelista">
    <w:name w:val="List Paragraph"/>
    <w:aliases w:val="CNBV Parrafo1,Párrafo de lista1,AB List 1,Bullet Points,Bullet List,FooterText,numbered,Paragraphe de liste1,List Paragraph1,Bulletr List Paragraph,List Paragraph-Thesis,Dot pt,List Paragraph Char Char Char,Indicator Text,Parrafo 1"/>
    <w:basedOn w:val="Normal"/>
    <w:link w:val="PrrafodelistaCar"/>
    <w:uiPriority w:val="34"/>
    <w:qFormat/>
    <w:rsid w:val="00B1325B"/>
    <w:pPr>
      <w:spacing w:after="5" w:line="247" w:lineRule="auto"/>
      <w:ind w:left="720" w:right="92" w:hanging="10"/>
      <w:contextualSpacing/>
      <w:jc w:val="both"/>
    </w:pPr>
    <w:rPr>
      <w:rFonts w:ascii="Arial" w:eastAsia="Arial" w:hAnsi="Arial" w:cs="Arial"/>
      <w:color w:val="000000"/>
      <w:sz w:val="24"/>
    </w:rPr>
  </w:style>
  <w:style w:type="character" w:styleId="Hipervnculovisitado">
    <w:name w:val="FollowedHyperlink"/>
    <w:basedOn w:val="Fuentedeprrafopredeter"/>
    <w:uiPriority w:val="99"/>
    <w:semiHidden/>
    <w:unhideWhenUsed/>
    <w:rsid w:val="002F6708"/>
    <w:rPr>
      <w:color w:val="954F72" w:themeColor="followedHyperlink"/>
      <w:u w:val="single"/>
    </w:rPr>
  </w:style>
  <w:style w:type="paragraph" w:styleId="Encabezado">
    <w:name w:val="header"/>
    <w:basedOn w:val="Normal"/>
    <w:link w:val="EncabezadoCar"/>
    <w:uiPriority w:val="99"/>
    <w:unhideWhenUsed/>
    <w:rsid w:val="00434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444"/>
  </w:style>
  <w:style w:type="paragraph" w:styleId="Piedepgina">
    <w:name w:val="footer"/>
    <w:basedOn w:val="Normal"/>
    <w:link w:val="PiedepginaCar"/>
    <w:uiPriority w:val="99"/>
    <w:unhideWhenUsed/>
    <w:rsid w:val="00434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2308">
      <w:bodyDiv w:val="1"/>
      <w:marLeft w:val="0"/>
      <w:marRight w:val="0"/>
      <w:marTop w:val="0"/>
      <w:marBottom w:val="0"/>
      <w:divBdr>
        <w:top w:val="none" w:sz="0" w:space="0" w:color="auto"/>
        <w:left w:val="none" w:sz="0" w:space="0" w:color="auto"/>
        <w:bottom w:val="none" w:sz="0" w:space="0" w:color="auto"/>
        <w:right w:val="none" w:sz="0" w:space="0" w:color="auto"/>
      </w:divBdr>
    </w:div>
    <w:div w:id="230359368">
      <w:bodyDiv w:val="1"/>
      <w:marLeft w:val="0"/>
      <w:marRight w:val="0"/>
      <w:marTop w:val="0"/>
      <w:marBottom w:val="0"/>
      <w:divBdr>
        <w:top w:val="none" w:sz="0" w:space="0" w:color="auto"/>
        <w:left w:val="none" w:sz="0" w:space="0" w:color="auto"/>
        <w:bottom w:val="none" w:sz="0" w:space="0" w:color="auto"/>
        <w:right w:val="none" w:sz="0" w:space="0" w:color="auto"/>
      </w:divBdr>
    </w:div>
    <w:div w:id="14909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e.mx/sesion-extraordinaria-del-consejo-general-11-de-septiembre-de-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MARTINEZ GABRIELA</dc:creator>
  <cp:keywords/>
  <dc:description/>
  <cp:lastModifiedBy>Gabriel de la Paz S</cp:lastModifiedBy>
  <cp:revision>2</cp:revision>
  <cp:lastPrinted>2020-09-14T18:12:00Z</cp:lastPrinted>
  <dcterms:created xsi:type="dcterms:W3CDTF">2020-09-15T16:45:00Z</dcterms:created>
  <dcterms:modified xsi:type="dcterms:W3CDTF">2020-09-15T16:45:00Z</dcterms:modified>
</cp:coreProperties>
</file>