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4972" w14:textId="77777777" w:rsidR="00BC541B" w:rsidRDefault="001277CA">
      <w:pPr>
        <w:tabs>
          <w:tab w:val="left" w:pos="3090"/>
        </w:tabs>
        <w:rPr>
          <w:rFonts w:ascii="Franklin Gothic Book" w:hAnsi="Franklin Gothic Book"/>
        </w:rPr>
      </w:pPr>
      <w:bookmarkStart w:id="0" w:name="_Hlk203133887"/>
      <w:bookmarkEnd w:id="0"/>
      <w:r>
        <w:rPr>
          <w:noProof/>
        </w:rPr>
        <w:drawing>
          <wp:anchor distT="0" distB="0" distL="114300" distR="114300" simplePos="0" relativeHeight="251664384" behindDoc="1" locked="0" layoutInCell="1" allowOverlap="1" wp14:anchorId="2527331D" wp14:editId="6BE0ACA2">
            <wp:simplePos x="0" y="0"/>
            <wp:positionH relativeFrom="column">
              <wp:posOffset>-1107440</wp:posOffset>
            </wp:positionH>
            <wp:positionV relativeFrom="paragraph">
              <wp:posOffset>-1243965</wp:posOffset>
            </wp:positionV>
            <wp:extent cx="7847330" cy="10165080"/>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847462" cy="10164941"/>
                    </a:xfrm>
                    <a:prstGeom prst="rect">
                      <a:avLst/>
                    </a:prstGeom>
                    <a:noFill/>
                    <a:ln>
                      <a:noFill/>
                    </a:ln>
                  </pic:spPr>
                </pic:pic>
              </a:graphicData>
            </a:graphic>
          </wp:anchor>
        </w:drawing>
      </w:r>
      <w:r>
        <w:rPr>
          <w:rFonts w:ascii="Franklin Gothic Book" w:hAnsi="Franklin Gothic Book"/>
        </w:rPr>
        <w:tab/>
      </w:r>
    </w:p>
    <w:p w14:paraId="2805559C" w14:textId="77777777" w:rsidR="00BC541B" w:rsidRDefault="00BC541B">
      <w:pPr>
        <w:rPr>
          <w:rFonts w:ascii="Franklin Gothic Book" w:hAnsi="Franklin Gothic Book"/>
        </w:rPr>
      </w:pPr>
    </w:p>
    <w:p w14:paraId="6FB2082D" w14:textId="77777777" w:rsidR="00BC541B" w:rsidRDefault="00BC541B">
      <w:pPr>
        <w:rPr>
          <w:rFonts w:ascii="Franklin Gothic Book" w:hAnsi="Franklin Gothic Book"/>
        </w:rPr>
      </w:pPr>
    </w:p>
    <w:p w14:paraId="1BF0A3A1" w14:textId="77777777" w:rsidR="00BC541B" w:rsidRDefault="00BC541B">
      <w:pPr>
        <w:rPr>
          <w:rFonts w:ascii="Franklin Gothic Book" w:hAnsi="Franklin Gothic Book"/>
        </w:rPr>
      </w:pPr>
    </w:p>
    <w:p w14:paraId="79C225EF" w14:textId="77777777" w:rsidR="00BC541B" w:rsidRDefault="00BC541B">
      <w:pPr>
        <w:rPr>
          <w:rFonts w:ascii="Franklin Gothic Book" w:hAnsi="Franklin Gothic Book"/>
        </w:rPr>
      </w:pPr>
    </w:p>
    <w:p w14:paraId="283648D9" w14:textId="77777777" w:rsidR="00BC541B" w:rsidRDefault="00BC541B">
      <w:pPr>
        <w:rPr>
          <w:rFonts w:ascii="Franklin Gothic Book" w:hAnsi="Franklin Gothic Book"/>
        </w:rPr>
      </w:pPr>
    </w:p>
    <w:p w14:paraId="45956C99" w14:textId="77777777" w:rsidR="00BC541B" w:rsidRDefault="001277CA">
      <w:pPr>
        <w:tabs>
          <w:tab w:val="left" w:pos="5055"/>
        </w:tabs>
        <w:rPr>
          <w:rFonts w:ascii="Franklin Gothic Book" w:hAnsi="Franklin Gothic Book"/>
        </w:rPr>
      </w:pPr>
      <w:r>
        <w:rPr>
          <w:rFonts w:ascii="Franklin Gothic Book" w:hAnsi="Franklin Gothic Book"/>
        </w:rPr>
        <w:tab/>
      </w:r>
    </w:p>
    <w:p w14:paraId="1073F32A" w14:textId="77777777" w:rsidR="00BC541B" w:rsidRDefault="00BC541B">
      <w:pPr>
        <w:spacing w:after="0"/>
        <w:rPr>
          <w:rFonts w:ascii="Franklin Gothic Book" w:hAnsi="Franklin Gothic Book"/>
        </w:rPr>
      </w:pPr>
    </w:p>
    <w:p w14:paraId="4B4453F8" w14:textId="77777777" w:rsidR="00BC541B" w:rsidRDefault="00BC541B">
      <w:pPr>
        <w:rPr>
          <w:rFonts w:ascii="Franklin Gothic Book" w:hAnsi="Franklin Gothic Book"/>
        </w:rPr>
      </w:pPr>
    </w:p>
    <w:p w14:paraId="17563666" w14:textId="77777777" w:rsidR="00BC541B" w:rsidRDefault="001277CA">
      <w:pPr>
        <w:rPr>
          <w:rFonts w:ascii="Franklin Gothic Book" w:hAnsi="Franklin Gothic Book"/>
        </w:rPr>
      </w:pPr>
      <w:r>
        <w:rPr>
          <w:noProof/>
        </w:rPr>
        <mc:AlternateContent>
          <mc:Choice Requires="wps">
            <w:drawing>
              <wp:anchor distT="0" distB="0" distL="114300" distR="114300" simplePos="0" relativeHeight="251665408" behindDoc="0" locked="0" layoutInCell="1" allowOverlap="1" wp14:anchorId="254BBF89" wp14:editId="65FFA7D6">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3149470D" w14:textId="77777777" w:rsidR="00BC541B" w:rsidRDefault="001277CA">
                            <w:pPr>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 xml:space="preserve">PLAN </w:t>
                            </w:r>
                          </w:p>
                          <w:p w14:paraId="63377B16" w14:textId="77777777" w:rsidR="00BC541B" w:rsidRDefault="001277CA">
                            <w:pPr>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ANUAL</w:t>
                            </w:r>
                          </w:p>
                          <w:p w14:paraId="6279F220" w14:textId="77777777" w:rsidR="00BC541B" w:rsidRDefault="001277CA">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rPr>
                            </w:pPr>
                            <w:r>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54BBF8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" filled="f" stroked="f">
                <v:textbox>
                  <w:txbxContent>
                    <w:p w14:paraId="3149470D" w14:textId="77777777" w:rsidR="00BC541B" w:rsidRDefault="001277CA">
                      <w:pPr>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 xml:space="preserve">PLAN </w:t>
                      </w:r>
                    </w:p>
                    <w:p w14:paraId="63377B16" w14:textId="77777777" w:rsidR="00BC541B" w:rsidRDefault="001277CA">
                      <w:pPr>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ANUAL</w:t>
                      </w:r>
                    </w:p>
                    <w:p w14:paraId="6279F220" w14:textId="77777777" w:rsidR="00BC541B" w:rsidRDefault="001277CA">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rPr>
                      </w:pPr>
                      <w:r>
                        <w:rPr>
                          <w:rFonts w:ascii="Century Gothic" w:hAnsi="Century Gothic" w:cstheme="minorHAnsi"/>
                          <w:color w:val="000000" w:themeColor="text1"/>
                          <w:sz w:val="56"/>
                          <w:szCs w:val="56"/>
                        </w:rPr>
                        <w:t>DE TRABAJO 2026</w:t>
                      </w:r>
                    </w:p>
                  </w:txbxContent>
                </v:textbox>
              </v:shape>
            </w:pict>
          </mc:Fallback>
        </mc:AlternateContent>
      </w:r>
    </w:p>
    <w:p w14:paraId="6171B0B5" w14:textId="77777777" w:rsidR="00BC541B" w:rsidRDefault="00BC541B">
      <w:pPr>
        <w:rPr>
          <w:rFonts w:ascii="Franklin Gothic Book" w:hAnsi="Franklin Gothic Book"/>
        </w:rPr>
      </w:pPr>
    </w:p>
    <w:p w14:paraId="6194FECC" w14:textId="77777777" w:rsidR="00BC541B" w:rsidRDefault="00BC541B">
      <w:pPr>
        <w:rPr>
          <w:rFonts w:ascii="Franklin Gothic Book" w:hAnsi="Franklin Gothic Book"/>
        </w:rPr>
      </w:pPr>
    </w:p>
    <w:p w14:paraId="2BFFB94B" w14:textId="77777777" w:rsidR="00BC541B" w:rsidRDefault="00BC541B">
      <w:pPr>
        <w:rPr>
          <w:rFonts w:ascii="Franklin Gothic Book" w:hAnsi="Franklin Gothic Book"/>
        </w:rPr>
      </w:pPr>
    </w:p>
    <w:p w14:paraId="0C743C47" w14:textId="77777777" w:rsidR="00BC541B" w:rsidRDefault="00BC541B">
      <w:pPr>
        <w:rPr>
          <w:rFonts w:ascii="Franklin Gothic Book" w:hAnsi="Franklin Gothic Book"/>
        </w:rPr>
      </w:pPr>
    </w:p>
    <w:p w14:paraId="623934F3" w14:textId="77777777" w:rsidR="00BC541B" w:rsidRDefault="00BC541B">
      <w:pPr>
        <w:rPr>
          <w:rFonts w:ascii="Franklin Gothic Book" w:hAnsi="Franklin Gothic Book"/>
        </w:rPr>
      </w:pPr>
    </w:p>
    <w:p w14:paraId="47B14138" w14:textId="77777777" w:rsidR="00BC541B" w:rsidRDefault="00BC541B">
      <w:pPr>
        <w:jc w:val="center"/>
        <w:rPr>
          <w:rFonts w:cstheme="minorHAnsi"/>
          <w:color w:val="000000" w:themeColor="text1"/>
          <w:sz w:val="30"/>
          <w:szCs w:val="30"/>
        </w:rPr>
      </w:pPr>
    </w:p>
    <w:p w14:paraId="761FCD3E" w14:textId="77777777" w:rsidR="00BC541B" w:rsidRDefault="00BC541B">
      <w:pPr>
        <w:jc w:val="center"/>
        <w:rPr>
          <w:rFonts w:ascii="Franklin Gothic Book" w:hAnsi="Franklin Gothic Book" w:cs="Arial"/>
          <w:b/>
          <w:bCs/>
          <w:color w:val="000000" w:themeColor="text1"/>
          <w:sz w:val="32"/>
          <w:szCs w:val="32"/>
        </w:rPr>
      </w:pPr>
    </w:p>
    <w:p w14:paraId="3D11C3CD" w14:textId="77777777" w:rsidR="00BC541B" w:rsidRDefault="00BC541B">
      <w:pPr>
        <w:jc w:val="center"/>
        <w:rPr>
          <w:rFonts w:ascii="Franklin Gothic Book" w:hAnsi="Franklin Gothic Book" w:cs="Arial"/>
          <w:b/>
          <w:bCs/>
          <w:color w:val="000000" w:themeColor="text1"/>
          <w:sz w:val="32"/>
          <w:szCs w:val="32"/>
        </w:rPr>
      </w:pPr>
    </w:p>
    <w:p w14:paraId="6D91681C" w14:textId="77777777" w:rsidR="00BC541B" w:rsidRDefault="00BC541B">
      <w:pPr>
        <w:jc w:val="center"/>
        <w:rPr>
          <w:rFonts w:ascii="Franklin Gothic Book" w:hAnsi="Franklin Gothic Book" w:cs="Arial"/>
          <w:b/>
          <w:bCs/>
          <w:color w:val="000000" w:themeColor="text1"/>
          <w:sz w:val="32"/>
          <w:szCs w:val="32"/>
        </w:rPr>
      </w:pPr>
    </w:p>
    <w:p w14:paraId="7E53F5CD" w14:textId="77777777" w:rsidR="00BC541B" w:rsidRDefault="00BC541B">
      <w:pPr>
        <w:rPr>
          <w:rFonts w:ascii="Franklin Gothic Book" w:hAnsi="Franklin Gothic Book" w:cs="Arial"/>
          <w:b/>
          <w:bCs/>
          <w:color w:val="000000" w:themeColor="text1"/>
          <w:sz w:val="32"/>
          <w:szCs w:val="32"/>
        </w:rPr>
      </w:pPr>
    </w:p>
    <w:p w14:paraId="7609AE95" w14:textId="77777777" w:rsidR="00BC541B" w:rsidRDefault="001277CA">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6C7B86BB" w14:textId="77777777" w:rsidR="00BC541B" w:rsidRDefault="001277CA">
      <w:pPr>
        <w:rPr>
          <w:rFonts w:ascii="Franklin Gothic Book" w:hAnsi="Franklin Gothic Book" w:cs="Arial"/>
          <w:b/>
          <w:bCs/>
          <w:color w:val="000000" w:themeColor="text1"/>
          <w:sz w:val="32"/>
          <w:szCs w:val="32"/>
        </w:rPr>
      </w:pPr>
      <w:r>
        <w:rPr>
          <w:noProof/>
        </w:rPr>
        <mc:AlternateContent>
          <mc:Choice Requires="wps">
            <w:drawing>
              <wp:anchor distT="0" distB="0" distL="114300" distR="114300" simplePos="0" relativeHeight="251662336" behindDoc="0" locked="0" layoutInCell="1" allowOverlap="1" wp14:anchorId="1BD69802" wp14:editId="12924159">
                <wp:simplePos x="0" y="0"/>
                <wp:positionH relativeFrom="column">
                  <wp:posOffset>-861695</wp:posOffset>
                </wp:positionH>
                <wp:positionV relativeFrom="paragraph">
                  <wp:posOffset>291465</wp:posOffset>
                </wp:positionV>
                <wp:extent cx="3714750" cy="909320"/>
                <wp:effectExtent l="0" t="0" r="0" b="5080"/>
                <wp:wrapNone/>
                <wp:docPr id="7" name="Cuadro de texto 7"/>
                <wp:cNvGraphicFramePr/>
                <a:graphic xmlns:a="http://schemas.openxmlformats.org/drawingml/2006/main">
                  <a:graphicData uri="http://schemas.microsoft.com/office/word/2010/wordprocessingShape">
                    <wps:wsp>
                      <wps:cNvSpPr txBox="1"/>
                      <wps:spPr>
                        <a:xfrm>
                          <a:off x="0" y="0"/>
                          <a:ext cx="3714750" cy="909320"/>
                        </a:xfrm>
                        <a:prstGeom prst="rect">
                          <a:avLst/>
                        </a:prstGeom>
                        <a:noFill/>
                        <a:ln>
                          <a:noFill/>
                        </a:ln>
                      </wps:spPr>
                      <wps:txbx>
                        <w:txbxContent>
                          <w:p w14:paraId="7B14A45C" w14:textId="225B5D6F" w:rsidR="00BC541B" w:rsidRDefault="001277CA">
                            <w:pPr>
                              <w:spacing w:line="240" w:lineRule="auto"/>
                              <w:ind w:left="360"/>
                              <w:jc w:val="center"/>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rPr>
                            </w:pPr>
                            <w:r>
                              <w:rPr>
                                <w:rFonts w:ascii="Century Gothic" w:hAnsi="Century Gothic" w:cstheme="minorHAnsi"/>
                                <w:b/>
                                <w:bCs/>
                                <w:color w:val="000000" w:themeColor="text1"/>
                                <w:sz w:val="30"/>
                                <w:szCs w:val="30"/>
                              </w:rPr>
                              <w:t>UNIDAD TÉCNICA JURÍDICA Y DE LO CONTENCIOSO ELECTORAL DEL I</w:t>
                            </w:r>
                            <w:r w:rsidR="00175442">
                              <w:rPr>
                                <w:rFonts w:ascii="Century Gothic" w:hAnsi="Century Gothic" w:cstheme="minorHAnsi"/>
                                <w:b/>
                                <w:bCs/>
                                <w:color w:val="000000" w:themeColor="text1"/>
                                <w:sz w:val="30"/>
                                <w:szCs w:val="30"/>
                              </w:rPr>
                              <w:t>EEPCO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BD69802" id="_x0000_t202" coordsize="21600,21600" o:spt="202" path="m,l,21600r21600,l21600,xe">
                <v:stroke joinstyle="miter"/>
                <v:path gradientshapeok="t" o:connecttype="rect"/>
              </v:shapetype>
              <v:shape id="Cuadro de texto 7" o:spid="_x0000_s1027" type="#_x0000_t202" style="position:absolute;margin-left:-67.85pt;margin-top:22.95pt;width:292.5pt;height:71.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" filled="f" stroked="f">
                <v:textbox>
                  <w:txbxContent>
                    <w:p w14:paraId="7B14A45C" w14:textId="225B5D6F" w:rsidR="00BC541B" w:rsidRDefault="001277CA">
                      <w:pPr>
                        <w:spacing w:line="240" w:lineRule="auto"/>
                        <w:ind w:left="360"/>
                        <w:jc w:val="center"/>
                        <w:rPr>
                          <w:rFonts w:ascii="Century Gothic" w:hAnsi="Century Gothic" w:cstheme="minorHAnsi"/>
                          <w:b/>
                          <w:bCs/>
                          <w:color w:val="000000" w:themeColor="text1"/>
                          <w:sz w:val="72"/>
                          <w:szCs w:val="72"/>
                          <w14:shadow w14:blurRad="38100" w14:dist="19050" w14:dir="2700000" w14:sx="100000" w14:sy="100000" w14:kx="0" w14:ky="0" w14:algn="tl">
                            <w14:schemeClr w14:val="dk1">
                              <w14:alpha w14:val="60000"/>
                            </w14:schemeClr>
                          </w14:shadow>
                        </w:rPr>
                      </w:pPr>
                      <w:r>
                        <w:rPr>
                          <w:rFonts w:ascii="Century Gothic" w:hAnsi="Century Gothic" w:cstheme="minorHAnsi"/>
                          <w:b/>
                          <w:bCs/>
                          <w:color w:val="000000" w:themeColor="text1"/>
                          <w:sz w:val="30"/>
                          <w:szCs w:val="30"/>
                        </w:rPr>
                        <w:t>UNIDAD TÉCNICA JURÍDICA Y DE LO CONTENCIOSO ELECTORAL DEL I</w:t>
                      </w:r>
                      <w:r w:rsidR="00175442">
                        <w:rPr>
                          <w:rFonts w:ascii="Century Gothic" w:hAnsi="Century Gothic" w:cstheme="minorHAnsi"/>
                          <w:b/>
                          <w:bCs/>
                          <w:color w:val="000000" w:themeColor="text1"/>
                          <w:sz w:val="30"/>
                          <w:szCs w:val="30"/>
                        </w:rPr>
                        <w:t>EEPCO</w:t>
                      </w:r>
                    </w:p>
                  </w:txbxContent>
                </v:textbox>
              </v:shape>
            </w:pict>
          </mc:Fallback>
        </mc:AlternateContent>
      </w:r>
    </w:p>
    <w:p w14:paraId="59ECB6D5" w14:textId="77777777" w:rsidR="00BC541B" w:rsidRDefault="00BC541B">
      <w:pPr>
        <w:rPr>
          <w:rFonts w:ascii="Franklin Gothic Book" w:hAnsi="Franklin Gothic Book" w:cs="Arial"/>
          <w:b/>
          <w:bCs/>
          <w:color w:val="000000" w:themeColor="text1"/>
          <w:sz w:val="32"/>
          <w:szCs w:val="32"/>
        </w:rPr>
      </w:pPr>
    </w:p>
    <w:p w14:paraId="692EEFCE" w14:textId="77777777" w:rsidR="00BC541B" w:rsidRDefault="00BC541B">
      <w:pPr>
        <w:rPr>
          <w:rFonts w:ascii="Franklin Gothic Book" w:hAnsi="Franklin Gothic Book" w:cs="Arial"/>
          <w:b/>
          <w:bCs/>
          <w:color w:val="000000" w:themeColor="text1"/>
          <w:sz w:val="32"/>
          <w:szCs w:val="32"/>
        </w:rPr>
      </w:pPr>
    </w:p>
    <w:p w14:paraId="48B2974A" w14:textId="77777777" w:rsidR="00BC541B" w:rsidRDefault="001277CA">
      <w:pPr>
        <w:rPr>
          <w:rFonts w:cstheme="minorHAnsi"/>
          <w:b/>
          <w:bCs/>
          <w:color w:val="000000" w:themeColor="text1"/>
          <w:sz w:val="24"/>
          <w:szCs w:val="24"/>
        </w:rPr>
      </w:pPr>
      <w:r>
        <w:rPr>
          <w:noProof/>
        </w:rPr>
        <mc:AlternateContent>
          <mc:Choice Requires="wps">
            <w:drawing>
              <wp:anchor distT="0" distB="0" distL="114300" distR="114300" simplePos="0" relativeHeight="251663360" behindDoc="0" locked="0" layoutInCell="1" allowOverlap="1" wp14:anchorId="0FE1A4CA" wp14:editId="5E7B885C">
                <wp:simplePos x="0" y="0"/>
                <wp:positionH relativeFrom="column">
                  <wp:posOffset>4374515</wp:posOffset>
                </wp:positionH>
                <wp:positionV relativeFrom="paragraph">
                  <wp:posOffset>927100</wp:posOffset>
                </wp:positionV>
                <wp:extent cx="2238375" cy="368300"/>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735B4F2" w14:textId="76073EB0" w:rsidR="00BC541B" w:rsidRDefault="00175442">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rPr>
                            </w:pPr>
                            <w:r>
                              <w:rPr>
                                <w:rFonts w:ascii="Century Gothic" w:hAnsi="Century Gothic" w:cstheme="minorHAnsi"/>
                                <w:color w:val="FFFFFF" w:themeColor="background1"/>
                                <w:sz w:val="30"/>
                                <w:szCs w:val="30"/>
                              </w:rPr>
                              <w:t>Octubre</w:t>
                            </w:r>
                            <w:r w:rsidR="001277CA">
                              <w:rPr>
                                <w:rFonts w:ascii="Century Gothic" w:hAnsi="Century Gothic" w:cstheme="minorHAnsi"/>
                                <w:color w:val="FFFFFF" w:themeColor="background1"/>
                                <w:sz w:val="30"/>
                                <w:szCs w:val="30"/>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FE1A4CA" id="Cuadro de texto 8" o:spid="_x0000_s1028" type="#_x0000_t202" style="position:absolute;margin-left:344.45pt;margin-top:73pt;width:176.25pt;height:2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" filled="f" stroked="f">
                <v:textbox>
                  <w:txbxContent>
                    <w:p w14:paraId="2735B4F2" w14:textId="76073EB0" w:rsidR="00BC541B" w:rsidRDefault="00175442">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rPr>
                      </w:pPr>
                      <w:r>
                        <w:rPr>
                          <w:rFonts w:ascii="Century Gothic" w:hAnsi="Century Gothic" w:cstheme="minorHAnsi"/>
                          <w:color w:val="FFFFFF" w:themeColor="background1"/>
                          <w:sz w:val="30"/>
                          <w:szCs w:val="30"/>
                        </w:rPr>
                        <w:t>Octubre</w:t>
                      </w:r>
                      <w:r w:rsidR="001277CA">
                        <w:rPr>
                          <w:rFonts w:ascii="Century Gothic" w:hAnsi="Century Gothic" w:cstheme="minorHAnsi"/>
                          <w:color w:val="FFFFFF" w:themeColor="background1"/>
                          <w:sz w:val="30"/>
                          <w:szCs w:val="30"/>
                        </w:rPr>
                        <w:t>/2025</w:t>
                      </w:r>
                    </w:p>
                  </w:txbxContent>
                </v:textbox>
              </v:shape>
            </w:pict>
          </mc:Fallback>
        </mc:AlternateContent>
      </w:r>
    </w:p>
    <w:p w14:paraId="0662C97A" w14:textId="77777777" w:rsidR="00BC541B" w:rsidRDefault="00BC541B">
      <w:pPr>
        <w:rPr>
          <w:rFonts w:cstheme="minorHAnsi"/>
          <w:b/>
          <w:bCs/>
          <w:color w:val="660033"/>
          <w:sz w:val="30"/>
          <w:szCs w:val="30"/>
          <w:u w:val="single"/>
        </w:rPr>
      </w:pPr>
    </w:p>
    <w:p w14:paraId="16D80DC3" w14:textId="77777777" w:rsidR="00BC541B" w:rsidRDefault="001277CA">
      <w:pPr>
        <w:rPr>
          <w:rFonts w:cstheme="minorHAnsi"/>
          <w:b/>
          <w:bCs/>
          <w:color w:val="660033"/>
          <w:sz w:val="30"/>
          <w:szCs w:val="30"/>
          <w:u w:val="single"/>
        </w:rPr>
      </w:pPr>
      <w:r>
        <w:rPr>
          <w:rFonts w:cstheme="minorHAnsi"/>
          <w:b/>
          <w:bCs/>
          <w:noProof/>
          <w:color w:val="660033"/>
          <w:sz w:val="24"/>
          <w:szCs w:val="24"/>
        </w:rPr>
        <w:lastRenderedPageBreak/>
        <w:drawing>
          <wp:anchor distT="0" distB="0" distL="114300" distR="114300" simplePos="0" relativeHeight="251666432" behindDoc="1" locked="0" layoutInCell="1" allowOverlap="1" wp14:anchorId="442B2D5A" wp14:editId="4777C02B">
            <wp:simplePos x="0" y="0"/>
            <wp:positionH relativeFrom="column">
              <wp:posOffset>-1056005</wp:posOffset>
            </wp:positionH>
            <wp:positionV relativeFrom="paragraph">
              <wp:posOffset>-1139190</wp:posOffset>
            </wp:positionV>
            <wp:extent cx="7785735"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785868" cy="10058400"/>
                    </a:xfrm>
                    <a:prstGeom prst="rect">
                      <a:avLst/>
                    </a:prstGeom>
                    <a:noFill/>
                    <a:ln>
                      <a:noFill/>
                    </a:ln>
                  </pic:spPr>
                </pic:pic>
              </a:graphicData>
            </a:graphic>
          </wp:anchor>
        </w:drawing>
      </w:r>
    </w:p>
    <w:p w14:paraId="7994AD68" w14:textId="77777777" w:rsidR="00BC541B" w:rsidRDefault="00BC541B">
      <w:pPr>
        <w:spacing w:after="0" w:line="240" w:lineRule="auto"/>
        <w:ind w:left="-426"/>
        <w:rPr>
          <w:rFonts w:ascii="Century Gothic" w:hAnsi="Century Gothic" w:cstheme="minorHAnsi"/>
          <w:b/>
          <w:bCs/>
          <w:color w:val="800000"/>
          <w:sz w:val="96"/>
          <w:szCs w:val="96"/>
        </w:rPr>
      </w:pPr>
    </w:p>
    <w:p w14:paraId="57CD5821" w14:textId="77777777" w:rsidR="00BC541B" w:rsidRDefault="001277CA">
      <w:pPr>
        <w:spacing w:after="0" w:line="240" w:lineRule="auto"/>
        <w:ind w:left="-426"/>
        <w:rPr>
          <w:rFonts w:cstheme="minorHAnsi"/>
          <w:b/>
          <w:bCs/>
          <w:color w:val="800000"/>
          <w:sz w:val="150"/>
          <w:szCs w:val="150"/>
        </w:rPr>
      </w:pPr>
      <w:r>
        <w:rPr>
          <w:rFonts w:ascii="Century Gothic" w:hAnsi="Century Gothic" w:cstheme="minorHAnsi"/>
          <w:b/>
          <w:bCs/>
          <w:color w:val="800000"/>
          <w:sz w:val="150"/>
          <w:szCs w:val="150"/>
        </w:rPr>
        <w:t>CONTENIDO</w:t>
      </w:r>
    </w:p>
    <w:p w14:paraId="7BBAD2CF" w14:textId="77777777" w:rsidR="00BC541B" w:rsidRDefault="00BC541B">
      <w:pPr>
        <w:pStyle w:val="Prrafodelista"/>
        <w:spacing w:line="480" w:lineRule="auto"/>
        <w:ind w:left="0"/>
        <w:rPr>
          <w:rFonts w:cstheme="minorHAnsi"/>
          <w:b/>
          <w:bCs/>
          <w:color w:val="800000"/>
        </w:rPr>
      </w:pPr>
    </w:p>
    <w:p w14:paraId="493653D2"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PRESENTACIÓN</w:t>
      </w:r>
    </w:p>
    <w:p w14:paraId="443A8C9C"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MARCO JURÍDICO</w:t>
      </w:r>
    </w:p>
    <w:p w14:paraId="1531170A"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ATRIBUCIONES</w:t>
      </w:r>
    </w:p>
    <w:p w14:paraId="174D905C"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MISIÓN</w:t>
      </w:r>
    </w:p>
    <w:p w14:paraId="15A7D5F8"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VISIÓN</w:t>
      </w:r>
    </w:p>
    <w:p w14:paraId="62C83594"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OBJETIVOS GENERALES</w:t>
      </w:r>
    </w:p>
    <w:p w14:paraId="35BC483B"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OBJETIVOS ESPECÍFICOS</w:t>
      </w:r>
    </w:p>
    <w:p w14:paraId="132BD4A1"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ORGANIGRAMA </w:t>
      </w:r>
    </w:p>
    <w:p w14:paraId="1388EC1F"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VINCULACIÓN A LA ESTRUCTURA ORGANIZACIONAL </w:t>
      </w:r>
    </w:p>
    <w:p w14:paraId="06D72D9E"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07FDBD66" w14:textId="77777777" w:rsidR="00BC541B" w:rsidRDefault="001277CA">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 CALENDARIO DE ACTIVIDADES Y REQUERIMIENTOS</w:t>
      </w:r>
    </w:p>
    <w:p w14:paraId="2C57B1F8" w14:textId="77777777" w:rsidR="00BC541B" w:rsidRDefault="001277CA">
      <w:pPr>
        <w:rPr>
          <w:rFonts w:cstheme="minorHAnsi"/>
          <w:b/>
          <w:bCs/>
          <w:color w:val="800000"/>
          <w:sz w:val="24"/>
          <w:szCs w:val="24"/>
        </w:rPr>
      </w:pPr>
      <w:r>
        <w:rPr>
          <w:rFonts w:cstheme="minorHAnsi"/>
          <w:b/>
          <w:bCs/>
          <w:color w:val="800000"/>
          <w:sz w:val="24"/>
          <w:szCs w:val="24"/>
        </w:rPr>
        <w:br w:type="page"/>
      </w:r>
    </w:p>
    <w:p w14:paraId="3B534E9C"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PRESENTACIÓN</w:t>
      </w:r>
    </w:p>
    <w:p w14:paraId="05FB9682" w14:textId="77777777" w:rsidR="00BC541B" w:rsidRDefault="00BC541B">
      <w:pPr>
        <w:jc w:val="both"/>
        <w:rPr>
          <w:rFonts w:asciiTheme="majorHAnsi" w:hAnsiTheme="majorHAnsi" w:cstheme="majorHAnsi"/>
          <w:color w:val="000000" w:themeColor="text1"/>
          <w:sz w:val="24"/>
          <w:szCs w:val="24"/>
        </w:rPr>
      </w:pPr>
    </w:p>
    <w:p w14:paraId="1FC9B8EB" w14:textId="77777777" w:rsidR="00BC541B" w:rsidRDefault="001277CA">
      <w:pPr>
        <w:jc w:val="both"/>
      </w:pPr>
      <w:r>
        <w:t>El presente documento contiene el Plan Anual de Trabajo de Unidad Técnica Jurídica y de lo Contencioso Electoral de este Instituto, el cual se elabora con base en las facultades y atribuciones que encomienda la normativa aplicable, así como en las actividades que cotidianamente se realizan y que se encuentran destinadas a cumplir la encomienda constitucional de este Instituto.</w:t>
      </w:r>
    </w:p>
    <w:p w14:paraId="18C7D1FC" w14:textId="77777777" w:rsidR="00BC541B" w:rsidRDefault="001277CA">
      <w:pPr>
        <w:jc w:val="both"/>
      </w:pPr>
      <w:r>
        <w:t>Para el diseño de este plan, se toma como punto de partida lo dispuesto en el Reglamento Interno de este instituto, el cual en su artículo 35 enlista las distintas funciones que se desarrollan en esta Unidad Técnica, y que fundamentalmente abarca dos funciones sustantivas que acaparan la totalidad de su labor.</w:t>
      </w:r>
    </w:p>
    <w:p w14:paraId="44CF7661" w14:textId="77777777" w:rsidR="00BC541B" w:rsidRDefault="001277CA">
      <w:pPr>
        <w:jc w:val="both"/>
      </w:pPr>
      <w:r>
        <w:t>Por una parte, como el órgano técnico y operativo encargado de la instrucción de los procedimientos que conoce la Comisión Permanente de Quejas y Denuncias o Procedimiento Contencioso Electoral con motivo del régimen sancionador electoral y aquellos de remoción en contra de integrantes de órganos desconcentrados, debiéndose destacar que dentro de estos procedimientos se encuentran aquellos en donde se investigan presuntos actos de violencia política en contra de las mujeres por razón de género, siendo una función de importancia vital para la Unidad, quien combate y persigue la sanción para aquellas personas que se oponen a alcanzar una sociedad más igualitaria y justa a través de la merma en el ejercicio de sus derechos, sin pasar por alto que también se investigan conductas que contravienen las normas sobre propaganda político electoral en los procesos electorales, de participación ciudadana y de revocación de mandato.</w:t>
      </w:r>
    </w:p>
    <w:p w14:paraId="65FD4C2A" w14:textId="77777777" w:rsidR="00BC541B" w:rsidRDefault="001277CA">
      <w:pPr>
        <w:jc w:val="both"/>
        <w:rPr>
          <w:rFonts w:eastAsiaTheme="minorEastAsia"/>
        </w:rPr>
      </w:pPr>
      <w:r>
        <w:t>Por otro lado, también se coadyuva con la Secretaría Ejecutiva en la representación legal del instituto, así como en temas de naturaleza jurídica relacionados con la atención, brindar servicios de consulta, orientación y asesoría jurídica en asuntos relacionados con la función electoral, tales como convenios, lineamientos, acuerdos, mecanismos de coordinación</w:t>
      </w:r>
      <w:r>
        <w:rPr>
          <w:rFonts w:eastAsiaTheme="minorEastAsia"/>
        </w:rPr>
        <w:t xml:space="preserve"> con las dependencias, entidades o instancias que por necesidades del servicio electoral se requiera, entre otras. </w:t>
      </w:r>
    </w:p>
    <w:p w14:paraId="415FDACC" w14:textId="77777777" w:rsidR="00BC541B" w:rsidRDefault="001277CA">
      <w:pPr>
        <w:jc w:val="both"/>
        <w:rPr>
          <w:rFonts w:eastAsiaTheme="minorEastAsia"/>
        </w:rPr>
      </w:pPr>
      <w:r>
        <w:rPr>
          <w:rFonts w:eastAsiaTheme="minorEastAsia"/>
        </w:rPr>
        <w:t xml:space="preserve">En este sentido, el Plan Anual de Trabajo que se presenta pretende reflejar en su programación las actividades necesarias para el cumplimiento de la misión, visión, y objetivos, así como sus indicadores de cumplimiento, que se plantea esta Unidad a lo largo del año 2026. </w:t>
      </w:r>
    </w:p>
    <w:p w14:paraId="1559A166" w14:textId="77777777" w:rsidR="00BC541B" w:rsidRDefault="00BC541B">
      <w:pPr>
        <w:jc w:val="both"/>
        <w:rPr>
          <w:rFonts w:asciiTheme="majorHAnsi" w:hAnsiTheme="majorHAnsi" w:cstheme="majorBidi"/>
          <w:color w:val="000000" w:themeColor="text1"/>
          <w:sz w:val="24"/>
          <w:szCs w:val="24"/>
        </w:rPr>
      </w:pPr>
    </w:p>
    <w:p w14:paraId="2A917F00" w14:textId="77777777" w:rsidR="00BC541B" w:rsidRDefault="00BC541B">
      <w:pPr>
        <w:jc w:val="both"/>
        <w:rPr>
          <w:rFonts w:asciiTheme="majorHAnsi" w:hAnsiTheme="majorHAnsi" w:cstheme="majorBidi"/>
          <w:color w:val="000000" w:themeColor="text1"/>
          <w:sz w:val="24"/>
          <w:szCs w:val="24"/>
        </w:rPr>
      </w:pPr>
    </w:p>
    <w:p w14:paraId="2AC1FEA4" w14:textId="77777777" w:rsidR="00BC541B" w:rsidRDefault="00BC541B">
      <w:pPr>
        <w:jc w:val="both"/>
        <w:rPr>
          <w:rFonts w:asciiTheme="majorHAnsi" w:hAnsiTheme="majorHAnsi" w:cstheme="majorBidi"/>
          <w:color w:val="000000" w:themeColor="text1"/>
          <w:sz w:val="24"/>
          <w:szCs w:val="24"/>
        </w:rPr>
      </w:pPr>
    </w:p>
    <w:p w14:paraId="6F5292AC" w14:textId="77777777" w:rsidR="00BC541B" w:rsidRDefault="00BC541B">
      <w:pPr>
        <w:jc w:val="both"/>
        <w:rPr>
          <w:rFonts w:asciiTheme="majorHAnsi" w:hAnsiTheme="majorHAnsi" w:cstheme="majorBidi"/>
          <w:color w:val="000000" w:themeColor="text1"/>
          <w:sz w:val="24"/>
          <w:szCs w:val="24"/>
        </w:rPr>
      </w:pPr>
    </w:p>
    <w:p w14:paraId="4DD1BA0F" w14:textId="77777777" w:rsidR="00BC541B" w:rsidRDefault="00BC541B">
      <w:pPr>
        <w:jc w:val="both"/>
        <w:rPr>
          <w:rFonts w:asciiTheme="majorHAnsi" w:hAnsiTheme="majorHAnsi" w:cstheme="majorBidi"/>
          <w:color w:val="000000" w:themeColor="text1"/>
          <w:sz w:val="24"/>
          <w:szCs w:val="24"/>
        </w:rPr>
      </w:pPr>
    </w:p>
    <w:p w14:paraId="01DBA8BF" w14:textId="77777777" w:rsidR="00BC541B" w:rsidRDefault="00BC541B">
      <w:pPr>
        <w:jc w:val="both"/>
        <w:rPr>
          <w:rFonts w:asciiTheme="majorHAnsi" w:hAnsiTheme="majorHAnsi" w:cstheme="majorHAnsi"/>
          <w:color w:val="000000" w:themeColor="text1"/>
          <w:sz w:val="24"/>
          <w:szCs w:val="24"/>
        </w:rPr>
      </w:pPr>
    </w:p>
    <w:p w14:paraId="62E54BF3" w14:textId="77777777" w:rsidR="00BC541B" w:rsidRDefault="00BC541B">
      <w:pPr>
        <w:jc w:val="both"/>
        <w:rPr>
          <w:rFonts w:asciiTheme="majorHAnsi" w:hAnsiTheme="majorHAnsi" w:cstheme="majorHAnsi"/>
          <w:color w:val="000000" w:themeColor="text1"/>
          <w:sz w:val="24"/>
          <w:szCs w:val="24"/>
        </w:rPr>
      </w:pPr>
    </w:p>
    <w:p w14:paraId="119F9BB3"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MARCO JURÍDICO</w:t>
      </w:r>
    </w:p>
    <w:p w14:paraId="3324D428" w14:textId="77777777" w:rsidR="00BC541B" w:rsidRDefault="00BC541B">
      <w:pPr>
        <w:jc w:val="both"/>
        <w:rPr>
          <w:rFonts w:asciiTheme="majorHAnsi" w:hAnsiTheme="majorHAnsi" w:cstheme="majorHAnsi"/>
          <w:b/>
          <w:bCs/>
          <w:color w:val="000000" w:themeColor="text1"/>
          <w:sz w:val="24"/>
          <w:szCs w:val="24"/>
        </w:rPr>
      </w:pPr>
    </w:p>
    <w:p w14:paraId="26EBC9DD" w14:textId="77777777" w:rsidR="00BC541B" w:rsidRDefault="001277CA">
      <w:pPr>
        <w:jc w:val="both"/>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ESTATAL</w:t>
      </w:r>
    </w:p>
    <w:p w14:paraId="3EABFA21" w14:textId="31DC9467" w:rsidR="00BC541B" w:rsidRDefault="001277CA">
      <w:pPr>
        <w:pStyle w:val="Prrafodelista"/>
        <w:numPr>
          <w:ilvl w:val="0"/>
          <w:numId w:val="1"/>
        </w:numPr>
        <w:jc w:val="both"/>
        <w:rPr>
          <w:rFonts w:asciiTheme="majorHAnsi" w:hAnsiTheme="majorHAnsi" w:cstheme="majorBidi"/>
          <w:color w:val="000000" w:themeColor="text1"/>
        </w:rPr>
      </w:pPr>
      <w:r>
        <w:rPr>
          <w:rFonts w:asciiTheme="majorHAnsi" w:hAnsiTheme="majorHAnsi" w:cstheme="majorBidi"/>
          <w:color w:val="000000" w:themeColor="text1"/>
          <w:sz w:val="24"/>
          <w:szCs w:val="24"/>
        </w:rPr>
        <w:t xml:space="preserve">Ley de Instituciones y Procedimientos Electorales del Estado de Oaxaca. </w:t>
      </w:r>
    </w:p>
    <w:p w14:paraId="449E5F5F" w14:textId="77777777" w:rsidR="00BC541B" w:rsidRDefault="00BC541B">
      <w:pPr>
        <w:pStyle w:val="Prrafodelista"/>
        <w:jc w:val="both"/>
        <w:rPr>
          <w:rFonts w:asciiTheme="majorHAnsi" w:hAnsiTheme="majorHAnsi" w:cstheme="majorBidi"/>
          <w:i/>
          <w:iCs/>
          <w:color w:val="000000" w:themeColor="text1"/>
          <w:sz w:val="24"/>
          <w:szCs w:val="24"/>
        </w:rPr>
      </w:pPr>
    </w:p>
    <w:p w14:paraId="0ABDA51E" w14:textId="77777777" w:rsidR="00BC541B" w:rsidRDefault="001277CA">
      <w:pPr>
        <w:jc w:val="both"/>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INTERNO</w:t>
      </w:r>
    </w:p>
    <w:p w14:paraId="4EAABA31" w14:textId="4AB7A929" w:rsidR="00BC541B" w:rsidRPr="00727A0E" w:rsidRDefault="001277CA" w:rsidP="00727A0E">
      <w:pPr>
        <w:pStyle w:val="Prrafodelista"/>
        <w:numPr>
          <w:ilvl w:val="0"/>
          <w:numId w:val="2"/>
        </w:numPr>
        <w:jc w:val="both"/>
        <w:rPr>
          <w:rFonts w:asciiTheme="majorHAnsi" w:hAnsiTheme="majorHAnsi" w:cstheme="majorBidi"/>
          <w:color w:val="000000" w:themeColor="text1"/>
        </w:rPr>
      </w:pPr>
      <w:r w:rsidRPr="00727A0E">
        <w:rPr>
          <w:rFonts w:asciiTheme="majorHAnsi" w:hAnsiTheme="majorHAnsi" w:cstheme="majorBidi"/>
          <w:color w:val="000000" w:themeColor="text1"/>
          <w:sz w:val="24"/>
          <w:szCs w:val="24"/>
        </w:rPr>
        <w:t>Reglamento Interior del Instituto Estatal Electoral y de Participación Ciudadana de Oaxaca</w:t>
      </w:r>
      <w:r w:rsidR="00727A0E">
        <w:rPr>
          <w:rFonts w:asciiTheme="majorHAnsi" w:hAnsiTheme="majorHAnsi" w:cstheme="majorBidi"/>
          <w:color w:val="000000" w:themeColor="text1"/>
          <w:sz w:val="24"/>
          <w:szCs w:val="24"/>
        </w:rPr>
        <w:t>.</w:t>
      </w:r>
    </w:p>
    <w:p w14:paraId="06B5CC1C" w14:textId="77777777" w:rsidR="00BC541B" w:rsidRDefault="00BC541B">
      <w:pPr>
        <w:jc w:val="both"/>
        <w:rPr>
          <w:rFonts w:asciiTheme="majorHAnsi" w:hAnsiTheme="majorHAnsi" w:cstheme="majorBidi"/>
          <w:color w:val="000000" w:themeColor="text1"/>
        </w:rPr>
      </w:pPr>
    </w:p>
    <w:p w14:paraId="07640DA4" w14:textId="77777777" w:rsidR="00BC541B" w:rsidRDefault="00BC541B">
      <w:pPr>
        <w:jc w:val="both"/>
        <w:rPr>
          <w:rFonts w:asciiTheme="majorHAnsi" w:hAnsiTheme="majorHAnsi" w:cstheme="majorBidi"/>
          <w:color w:val="000000" w:themeColor="text1"/>
        </w:rPr>
      </w:pPr>
    </w:p>
    <w:p w14:paraId="246BFA49" w14:textId="77777777" w:rsidR="00BC541B" w:rsidRDefault="00BC541B">
      <w:pPr>
        <w:jc w:val="both"/>
        <w:rPr>
          <w:rFonts w:asciiTheme="majorHAnsi" w:hAnsiTheme="majorHAnsi" w:cstheme="majorBidi"/>
          <w:color w:val="000000" w:themeColor="text1"/>
        </w:rPr>
      </w:pPr>
    </w:p>
    <w:p w14:paraId="5D6D94B7" w14:textId="77777777" w:rsidR="00BC541B" w:rsidRDefault="00BC541B">
      <w:pPr>
        <w:jc w:val="both"/>
        <w:rPr>
          <w:rFonts w:asciiTheme="majorHAnsi" w:hAnsiTheme="majorHAnsi" w:cstheme="majorBidi"/>
          <w:color w:val="000000" w:themeColor="text1"/>
        </w:rPr>
      </w:pPr>
    </w:p>
    <w:p w14:paraId="4FEF1449" w14:textId="77777777" w:rsidR="00BC541B" w:rsidRDefault="00BC541B">
      <w:pPr>
        <w:jc w:val="both"/>
        <w:rPr>
          <w:rFonts w:asciiTheme="majorHAnsi" w:hAnsiTheme="majorHAnsi" w:cstheme="majorBidi"/>
          <w:color w:val="000000" w:themeColor="text1"/>
        </w:rPr>
      </w:pPr>
    </w:p>
    <w:p w14:paraId="21EA0C43" w14:textId="77777777" w:rsidR="00BC541B" w:rsidRDefault="00BC541B">
      <w:pPr>
        <w:jc w:val="both"/>
        <w:rPr>
          <w:rFonts w:asciiTheme="majorHAnsi" w:hAnsiTheme="majorHAnsi" w:cstheme="majorBidi"/>
          <w:color w:val="000000" w:themeColor="text1"/>
        </w:rPr>
      </w:pPr>
    </w:p>
    <w:p w14:paraId="2AE534B7" w14:textId="77777777" w:rsidR="00BC541B" w:rsidRDefault="00BC541B">
      <w:pPr>
        <w:jc w:val="both"/>
        <w:rPr>
          <w:rFonts w:asciiTheme="majorHAnsi" w:hAnsiTheme="majorHAnsi" w:cstheme="majorBidi"/>
          <w:color w:val="000000" w:themeColor="text1"/>
        </w:rPr>
      </w:pPr>
    </w:p>
    <w:p w14:paraId="36242A2C" w14:textId="77777777" w:rsidR="00BC541B" w:rsidRDefault="00BC541B">
      <w:pPr>
        <w:jc w:val="both"/>
        <w:rPr>
          <w:rFonts w:asciiTheme="majorHAnsi" w:hAnsiTheme="majorHAnsi" w:cstheme="majorBidi"/>
          <w:color w:val="000000" w:themeColor="text1"/>
        </w:rPr>
      </w:pPr>
    </w:p>
    <w:p w14:paraId="24729DB9" w14:textId="77777777" w:rsidR="00BC541B" w:rsidRDefault="00BC541B">
      <w:pPr>
        <w:jc w:val="both"/>
        <w:rPr>
          <w:rFonts w:asciiTheme="majorHAnsi" w:hAnsiTheme="majorHAnsi" w:cstheme="majorBidi"/>
          <w:color w:val="000000" w:themeColor="text1"/>
        </w:rPr>
      </w:pPr>
    </w:p>
    <w:p w14:paraId="28F3BCF2" w14:textId="02E160BE" w:rsidR="00BC541B" w:rsidRDefault="00BC541B">
      <w:pPr>
        <w:jc w:val="both"/>
        <w:rPr>
          <w:rFonts w:asciiTheme="majorHAnsi" w:hAnsiTheme="majorHAnsi" w:cstheme="majorBidi"/>
          <w:color w:val="000000" w:themeColor="text1"/>
        </w:rPr>
      </w:pPr>
    </w:p>
    <w:p w14:paraId="1B48FA25" w14:textId="77777777" w:rsidR="00727A0E" w:rsidRDefault="00727A0E">
      <w:pPr>
        <w:jc w:val="both"/>
        <w:rPr>
          <w:rFonts w:asciiTheme="majorHAnsi" w:hAnsiTheme="majorHAnsi" w:cstheme="majorBidi"/>
          <w:color w:val="000000" w:themeColor="text1"/>
        </w:rPr>
      </w:pPr>
    </w:p>
    <w:p w14:paraId="5C197D79" w14:textId="77777777" w:rsidR="00BC541B" w:rsidRDefault="00BC541B">
      <w:pPr>
        <w:jc w:val="both"/>
        <w:rPr>
          <w:rFonts w:asciiTheme="majorHAnsi" w:hAnsiTheme="majorHAnsi" w:cstheme="majorBidi"/>
          <w:color w:val="000000" w:themeColor="text1"/>
        </w:rPr>
      </w:pPr>
    </w:p>
    <w:p w14:paraId="60B7FD3D" w14:textId="77777777" w:rsidR="00BC541B" w:rsidRDefault="00BC541B">
      <w:pPr>
        <w:jc w:val="both"/>
        <w:rPr>
          <w:rFonts w:asciiTheme="majorHAnsi" w:hAnsiTheme="majorHAnsi" w:cstheme="majorBidi"/>
          <w:color w:val="000000" w:themeColor="text1"/>
        </w:rPr>
      </w:pPr>
    </w:p>
    <w:p w14:paraId="58EF7ECC" w14:textId="77777777" w:rsidR="00BC541B" w:rsidRDefault="00BC541B">
      <w:pPr>
        <w:jc w:val="both"/>
        <w:rPr>
          <w:rFonts w:asciiTheme="majorHAnsi" w:hAnsiTheme="majorHAnsi" w:cstheme="majorBidi"/>
          <w:color w:val="000000" w:themeColor="text1"/>
        </w:rPr>
      </w:pPr>
    </w:p>
    <w:p w14:paraId="76E02AE7" w14:textId="125CB204" w:rsidR="00BC541B" w:rsidRDefault="00BC541B">
      <w:pPr>
        <w:jc w:val="both"/>
        <w:rPr>
          <w:rFonts w:asciiTheme="majorHAnsi" w:hAnsiTheme="majorHAnsi" w:cstheme="majorBidi"/>
          <w:color w:val="000000" w:themeColor="text1"/>
        </w:rPr>
      </w:pPr>
    </w:p>
    <w:p w14:paraId="0925EE8A" w14:textId="4B9B6F21" w:rsidR="00BD00A5" w:rsidRDefault="00BD00A5">
      <w:pPr>
        <w:jc w:val="both"/>
        <w:rPr>
          <w:rFonts w:asciiTheme="majorHAnsi" w:hAnsiTheme="majorHAnsi" w:cstheme="majorBidi"/>
          <w:color w:val="000000" w:themeColor="text1"/>
        </w:rPr>
      </w:pPr>
    </w:p>
    <w:p w14:paraId="250317B6" w14:textId="02B168FA" w:rsidR="00175442" w:rsidRDefault="00175442">
      <w:pPr>
        <w:jc w:val="both"/>
        <w:rPr>
          <w:rFonts w:asciiTheme="majorHAnsi" w:hAnsiTheme="majorHAnsi" w:cstheme="majorBidi"/>
          <w:color w:val="000000" w:themeColor="text1"/>
        </w:rPr>
      </w:pPr>
    </w:p>
    <w:p w14:paraId="6B14F9B6" w14:textId="77777777" w:rsidR="00175442" w:rsidRDefault="00175442">
      <w:pPr>
        <w:jc w:val="both"/>
        <w:rPr>
          <w:rFonts w:asciiTheme="majorHAnsi" w:hAnsiTheme="majorHAnsi" w:cstheme="majorBidi"/>
          <w:color w:val="000000" w:themeColor="text1"/>
        </w:rPr>
      </w:pPr>
    </w:p>
    <w:p w14:paraId="10DAD51C" w14:textId="77777777" w:rsidR="00BC541B" w:rsidRDefault="00BC541B">
      <w:pPr>
        <w:jc w:val="both"/>
        <w:rPr>
          <w:rFonts w:asciiTheme="majorHAnsi" w:hAnsiTheme="majorHAnsi" w:cstheme="majorBidi"/>
          <w:color w:val="000000" w:themeColor="text1"/>
        </w:rPr>
      </w:pPr>
    </w:p>
    <w:p w14:paraId="362E49F2"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ATRIBUCIONES</w:t>
      </w:r>
    </w:p>
    <w:p w14:paraId="28D79A4A" w14:textId="77777777" w:rsidR="00BC541B" w:rsidRDefault="001277CA">
      <w:pPr>
        <w:pStyle w:val="Prrafodelista"/>
        <w:numPr>
          <w:ilvl w:val="0"/>
          <w:numId w:val="3"/>
        </w:numPr>
        <w:jc w:val="both"/>
        <w:rPr>
          <w:b/>
          <w:bCs/>
        </w:rPr>
      </w:pPr>
      <w:r>
        <w:rPr>
          <w:b/>
          <w:bCs/>
        </w:rPr>
        <w:t xml:space="preserve">Ley de Instituciones y Procedimientos Electorales del Estado de Oaxaca. </w:t>
      </w:r>
    </w:p>
    <w:p w14:paraId="7246C665" w14:textId="77777777" w:rsidR="00BC541B" w:rsidRDefault="001277CA">
      <w:pPr>
        <w:jc w:val="both"/>
      </w:pPr>
      <w:r>
        <w:rPr>
          <w:b/>
          <w:bCs/>
        </w:rPr>
        <w:t>Artículo 42.</w:t>
      </w:r>
      <w:r>
        <w:t xml:space="preserve"> </w:t>
      </w:r>
    </w:p>
    <w:p w14:paraId="203615C4" w14:textId="77777777" w:rsidR="00BC541B" w:rsidRDefault="001277CA">
      <w:pPr>
        <w:jc w:val="both"/>
        <w:rPr>
          <w:i/>
          <w:iCs/>
        </w:rPr>
      </w:pPr>
      <w:r>
        <w:rPr>
          <w:i/>
          <w:iCs/>
        </w:rPr>
        <w:t xml:space="preserve">Artículo 42 (...) 2.- El Consejo General del Instituto Estatal, integrará de manera permanente las siguientes comisiones:  </w:t>
      </w:r>
    </w:p>
    <w:p w14:paraId="55EDCA75" w14:textId="77777777" w:rsidR="00BC541B" w:rsidRDefault="001277CA">
      <w:pPr>
        <w:jc w:val="both"/>
        <w:rPr>
          <w:i/>
          <w:iCs/>
        </w:rPr>
      </w:pPr>
      <w:r>
        <w:rPr>
          <w:i/>
          <w:iCs/>
        </w:rPr>
        <w:t>(...) III.- De Quejas y Denuncias o Procedimiento Contencioso Electoral;</w:t>
      </w:r>
    </w:p>
    <w:p w14:paraId="1E7CC492" w14:textId="77777777" w:rsidR="00BC541B" w:rsidRDefault="001277CA">
      <w:pPr>
        <w:jc w:val="both"/>
        <w:rPr>
          <w:b/>
          <w:bCs/>
        </w:rPr>
      </w:pPr>
      <w:r>
        <w:rPr>
          <w:b/>
          <w:bCs/>
        </w:rPr>
        <w:t xml:space="preserve">Artículo 70 </w:t>
      </w:r>
    </w:p>
    <w:p w14:paraId="338DD541" w14:textId="77777777" w:rsidR="00BC541B" w:rsidRDefault="001277CA">
      <w:pPr>
        <w:jc w:val="both"/>
        <w:rPr>
          <w:i/>
          <w:iCs/>
        </w:rPr>
      </w:pPr>
      <w:r>
        <w:rPr>
          <w:i/>
          <w:iCs/>
        </w:rPr>
        <w:t xml:space="preserve">1.- El Instituto Estatal contará con Unidades Técnicas, adscritas a la Secretaría Ejecutiva que respectivamente tendrán a cargo las tareas siguientes: </w:t>
      </w:r>
    </w:p>
    <w:p w14:paraId="633AEBA3" w14:textId="77777777" w:rsidR="00BC541B" w:rsidRDefault="001277CA">
      <w:pPr>
        <w:jc w:val="both"/>
        <w:rPr>
          <w:i/>
          <w:iCs/>
        </w:rPr>
      </w:pPr>
      <w:r>
        <w:rPr>
          <w:i/>
          <w:iCs/>
        </w:rPr>
        <w:t xml:space="preserve">I.- Jurídica y de lo Contencioso Electoral; </w:t>
      </w:r>
    </w:p>
    <w:p w14:paraId="666EC1ED" w14:textId="77777777" w:rsidR="00BC541B" w:rsidRDefault="001277CA">
      <w:pPr>
        <w:jc w:val="both"/>
        <w:rPr>
          <w:i/>
          <w:iCs/>
        </w:rPr>
      </w:pPr>
      <w:r>
        <w:rPr>
          <w:i/>
          <w:iCs/>
        </w:rPr>
        <w:t>(...)</w:t>
      </w:r>
    </w:p>
    <w:p w14:paraId="421288A6" w14:textId="4817F0B9" w:rsidR="00BC541B" w:rsidRDefault="001277CA">
      <w:pPr>
        <w:jc w:val="both"/>
        <w:rPr>
          <w:i/>
          <w:iCs/>
        </w:rPr>
      </w:pPr>
      <w:r>
        <w:rPr>
          <w:i/>
          <w:iCs/>
        </w:rPr>
        <w:t xml:space="preserve">2.- Las atribuciones de las Unidades Técnicas serán determinadas en la normatividad interna del Instituto Estatal, así como las relaciones, actividades de colaboración y apoyo que deban brindar. Cada unidad tendrá la categoría y personal en relación con sus atribuciones, las cuales serán determinadas por el </w:t>
      </w:r>
      <w:proofErr w:type="gramStart"/>
      <w:r>
        <w:rPr>
          <w:i/>
          <w:iCs/>
        </w:rPr>
        <w:t>Secretario</w:t>
      </w:r>
      <w:r w:rsidR="00175442">
        <w:rPr>
          <w:i/>
          <w:iCs/>
        </w:rPr>
        <w:t xml:space="preserve"> </w:t>
      </w:r>
      <w:r>
        <w:rPr>
          <w:i/>
          <w:iCs/>
        </w:rPr>
        <w:t>Ejecutivo</w:t>
      </w:r>
      <w:proofErr w:type="gramEnd"/>
      <w:r>
        <w:rPr>
          <w:i/>
          <w:iCs/>
        </w:rPr>
        <w:t xml:space="preserve"> de acuerdo con las necesidades del servicio y la disponibilidad presupuestaria. </w:t>
      </w:r>
    </w:p>
    <w:p w14:paraId="5C112331" w14:textId="77777777" w:rsidR="00BC541B" w:rsidRDefault="001277CA">
      <w:pPr>
        <w:pStyle w:val="Prrafodelista"/>
        <w:numPr>
          <w:ilvl w:val="0"/>
          <w:numId w:val="4"/>
        </w:numPr>
        <w:jc w:val="both"/>
        <w:rPr>
          <w:rFonts w:asciiTheme="majorHAnsi" w:hAnsiTheme="majorHAnsi" w:cstheme="majorBidi"/>
          <w:b/>
          <w:bCs/>
          <w:color w:val="000000" w:themeColor="text1"/>
        </w:rPr>
      </w:pPr>
      <w:r>
        <w:rPr>
          <w:b/>
          <w:bCs/>
        </w:rPr>
        <w:t>Reglamento Interior del Instituto Estatal Electoral y de Participación Ciudadana de Oaxaca.</w:t>
      </w:r>
    </w:p>
    <w:p w14:paraId="187FF54E" w14:textId="77777777" w:rsidR="00BC541B" w:rsidRDefault="001277CA">
      <w:pPr>
        <w:ind w:left="360"/>
        <w:jc w:val="both"/>
        <w:rPr>
          <w:b/>
          <w:bCs/>
        </w:rPr>
      </w:pPr>
      <w:r>
        <w:rPr>
          <w:b/>
          <w:bCs/>
        </w:rPr>
        <w:t xml:space="preserve">Artículo 35. </w:t>
      </w:r>
    </w:p>
    <w:p w14:paraId="7FF27764" w14:textId="77777777" w:rsidR="00BC541B" w:rsidRDefault="001277CA">
      <w:pPr>
        <w:ind w:left="360"/>
        <w:jc w:val="both"/>
      </w:pPr>
      <w:r>
        <w:t>La Unidad Técnica Jurídica y de lo Contencioso Electoral deberá cumplir con lo siguiente:</w:t>
      </w:r>
    </w:p>
    <w:p w14:paraId="13DB312A" w14:textId="77777777" w:rsidR="00BC541B" w:rsidRDefault="001277CA">
      <w:pPr>
        <w:pStyle w:val="Prrafodelista"/>
        <w:numPr>
          <w:ilvl w:val="0"/>
          <w:numId w:val="5"/>
        </w:numPr>
        <w:jc w:val="both"/>
      </w:pPr>
      <w:r>
        <w:t xml:space="preserve">Coadyuvar con la Secretaría Ejecutiva en el ejercicio de la representación legal del IEEPCO, para actos jurisdiccionales y administrativos cuando así se le delegue por ésta, mediante mandato expreso para un acto específico; </w:t>
      </w:r>
    </w:p>
    <w:p w14:paraId="5AF9D938"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Previa instrucción de la Secretaría Ejecutiva, brindar servicios de asesoría jurídica en general y electoral, en particular, a los órganos del IEEPCO; </w:t>
      </w:r>
    </w:p>
    <w:p w14:paraId="3E0F25B1"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Colaborar con la Secretaría Ejecutiva en los asuntos derivados de la regulación del Estatuto; </w:t>
      </w:r>
    </w:p>
    <w:p w14:paraId="6625C3CD"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Atender y resolver las consultas sobre la aplicación de la Ley Electoral, del Estatuto y demás dispositivos legales que le formulen los diversos órganos del IEEPCO con el objeto de conformar criterios de interpretación legal y, en su caso, precedentes a observar; </w:t>
      </w:r>
    </w:p>
    <w:p w14:paraId="51D57AC5"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lastRenderedPageBreak/>
        <w:t xml:space="preserve">Preparar y/o revisar proyectos de Reglamentos y demás disposiciones jurídicas necesarias para el buen funcionamiento del IEEPCO; </w:t>
      </w:r>
    </w:p>
    <w:p w14:paraId="05D3B59B"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Preparar o, en su caso, revisar los proyectos de los diversos Acuerdos y lineamientos que deban ser expedidos por los Órganos del IEEPCO; </w:t>
      </w:r>
    </w:p>
    <w:p w14:paraId="25EAAD36"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Dirigir, coordinar, supervisar y evaluar las actividades y consultas que sobre normatividad presenten a los Órganos del IEEPCO; </w:t>
      </w:r>
    </w:p>
    <w:p w14:paraId="3703C968"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Brindar servicios legales a los Órganos del IEEPCO, así como de orientación a los Partidos Políticos, Agrupaciones Políticas y a la Ciudadanía;</w:t>
      </w:r>
    </w:p>
    <w:p w14:paraId="27527DFD"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Coadyuvar con la Secretaría Ejecutiva en el trámite y sustanciación en los medios de impugnación que sean de su competencia; </w:t>
      </w:r>
    </w:p>
    <w:p w14:paraId="22B81945"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Coadyuvar con la Secretaría Ejecutiva en la formulación de los proyectos de Resolución de los Recursos de Revisión que se presenten en el Proceso Electoral, en contra de las Resoluciones que emitan los Consejos Distritales o Municipales, para su presentación ante el Consejo General del IEEPCO; </w:t>
      </w:r>
    </w:p>
    <w:p w14:paraId="0BAE350D"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Llevar a cabo las notificaciones que conforme a la Ley Reglamentaria requiera formalidades especiales; </w:t>
      </w:r>
    </w:p>
    <w:p w14:paraId="3535E40D"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Revisar los proyectos de los convenios que en materia electoral celebre el IEEPCO por conducto de la Presidencia; </w:t>
      </w:r>
    </w:p>
    <w:p w14:paraId="6F7AA6A1"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Implementar los mecanismos de coordinación con las dependencias, entidades o 6 instancias con las que, por necesidades del servicio y sus programas específicos, obliguen a relacionarse, previo acuerdo con la Secretaría Ejecutiva; </w:t>
      </w:r>
    </w:p>
    <w:p w14:paraId="4F575B82"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Sustanciar los Procedimientos Especiales y Ordinarios Sancionadores que deriven de quejas en las que se denuncien infracciones a la normatividad electoral;</w:t>
      </w:r>
    </w:p>
    <w:p w14:paraId="655E6F27"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Apoyar a la Secretaría Ejecutiva en la integración de informes que correspondan, relativos a los asuntos de su competencia; </w:t>
      </w:r>
    </w:p>
    <w:p w14:paraId="72DB1EB4"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Remitir para su resolución los expedientes de los Procedimientos Especiales Sancionadores al Tribunal Electoral del Estado de Oaxaca; </w:t>
      </w:r>
    </w:p>
    <w:p w14:paraId="5B35E30A"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Remitir a la Comisión de Quejas y Denuncias los proyectos de resolución de los Procedimientos Ordinarios y así como los relacionados con la adopción de medidas cautelares;</w:t>
      </w:r>
    </w:p>
    <w:p w14:paraId="3D53D604"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Emitir los oficios necesarios para dar trámite a las diligencias relativas a los Procedimientos Sancionadores que establece la LIPEEO y La Ley Electoral Nacional vigente; </w:t>
      </w:r>
    </w:p>
    <w:p w14:paraId="54463A0F"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Efectuar las gestiones necesarias a fin de que se proceda al cobro de las multas impuestas por los Procedimientos Ordinarios y Especiales Sancionadores, que no hayan sido pagadas en los términos establecidos en la resolución correspondiente; </w:t>
      </w:r>
    </w:p>
    <w:p w14:paraId="252E2CCA"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Integrar el expediente que corresponda y remitirlo a las autoridades competentes, cuando se tenga constancia del incumplimiento a lo establecido en la normatividad electoral; </w:t>
      </w:r>
    </w:p>
    <w:p w14:paraId="777904F7"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t xml:space="preserve">Formar parte de las Comisiones o Comités, que el Consejo o la normatividad del IEEPCO le encomienden; y </w:t>
      </w:r>
    </w:p>
    <w:p w14:paraId="78C071C9" w14:textId="77777777" w:rsidR="00BC541B" w:rsidRDefault="001277CA">
      <w:pPr>
        <w:pStyle w:val="Prrafodelista"/>
        <w:numPr>
          <w:ilvl w:val="0"/>
          <w:numId w:val="5"/>
        </w:numPr>
        <w:jc w:val="both"/>
        <w:rPr>
          <w:rFonts w:asciiTheme="majorHAnsi" w:hAnsiTheme="majorHAnsi" w:cstheme="majorHAnsi"/>
          <w:color w:val="000000" w:themeColor="text1"/>
          <w:sz w:val="24"/>
          <w:szCs w:val="24"/>
        </w:rPr>
      </w:pPr>
      <w:r>
        <w:lastRenderedPageBreak/>
        <w:t>Las demás que les confieran la normatividad aplicable, el presente Reglamento o le encargue la Secretaría Ejecutiva.</w:t>
      </w:r>
    </w:p>
    <w:p w14:paraId="33376FB7" w14:textId="77777777" w:rsidR="00BC541B" w:rsidRDefault="00BC541B">
      <w:pPr>
        <w:jc w:val="both"/>
        <w:rPr>
          <w:rFonts w:asciiTheme="majorHAnsi" w:hAnsiTheme="majorHAnsi" w:cstheme="majorHAnsi"/>
          <w:color w:val="000000" w:themeColor="text1"/>
          <w:sz w:val="24"/>
          <w:szCs w:val="24"/>
        </w:rPr>
      </w:pPr>
    </w:p>
    <w:p w14:paraId="680AAB49" w14:textId="77777777" w:rsidR="00BC541B" w:rsidRDefault="00BC541B">
      <w:pPr>
        <w:jc w:val="both"/>
        <w:rPr>
          <w:rFonts w:asciiTheme="majorHAnsi" w:hAnsiTheme="majorHAnsi" w:cstheme="majorHAnsi"/>
          <w:color w:val="000000" w:themeColor="text1"/>
          <w:sz w:val="24"/>
          <w:szCs w:val="24"/>
        </w:rPr>
      </w:pPr>
    </w:p>
    <w:p w14:paraId="09DA282E"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MISIÓN</w:t>
      </w:r>
    </w:p>
    <w:p w14:paraId="11441F71" w14:textId="77777777" w:rsidR="00BC541B" w:rsidRDefault="001277CA">
      <w:pPr>
        <w:jc w:val="both"/>
        <w:rPr>
          <w:rFonts w:eastAsiaTheme="minorEastAsia"/>
        </w:rPr>
      </w:pPr>
      <w:r>
        <w:rPr>
          <w:rFonts w:eastAsiaTheme="minorEastAsia"/>
        </w:rPr>
        <w:t xml:space="preserve">La Unidad Técnica Jurídica y de lo Contencioso Electoral es el ente al interior del instituto en quien la normativa encomienda ser el órgano técnico y operativo para la instrucción de los distintos procedimientos que conoce la Comisión Permanente de Quejas y Denuncias o Procedimiento Contencioso Electoral, así como de coadyuvar con la Secretaría Ejecutiva respecto de la representación legal, atención, consulta, orientación y asesoría de otros asuntos de naturaleza jurídica relacionados con el funcionamiento del Instituto, todo lo cual realiza con la finalidad de dar cumplimiento a las disposiciones constitucionales, legales y reglamentarias que se relacionan su materia de actuación. </w:t>
      </w:r>
    </w:p>
    <w:p w14:paraId="7D76E466" w14:textId="77777777" w:rsidR="00BC541B" w:rsidRDefault="00BC541B">
      <w:pPr>
        <w:jc w:val="center"/>
        <w:rPr>
          <w:rFonts w:asciiTheme="majorHAnsi" w:hAnsiTheme="majorHAnsi" w:cstheme="majorHAnsi"/>
          <w:b/>
          <w:bCs/>
          <w:color w:val="800000"/>
          <w:sz w:val="40"/>
          <w:szCs w:val="40"/>
        </w:rPr>
      </w:pPr>
    </w:p>
    <w:p w14:paraId="55251FA7"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VISIÓN</w:t>
      </w:r>
    </w:p>
    <w:p w14:paraId="0C3C3A97" w14:textId="77777777" w:rsidR="00BC541B" w:rsidRDefault="001277CA">
      <w:pPr>
        <w:jc w:val="both"/>
        <w:rPr>
          <w:rFonts w:eastAsiaTheme="minorEastAsia"/>
        </w:rPr>
      </w:pPr>
      <w:r>
        <w:rPr>
          <w:rFonts w:eastAsiaTheme="minorEastAsia"/>
        </w:rPr>
        <w:t xml:space="preserve">Ser la Unidad Técnica de naturaleza profesional, con un  equipo de trabajo participativo, propositivo y comprometido con el cumplimiento de su misión, que actúe con eficiencia en el ejercicio de las atribuciones que le confiere la normativa, atendiendo e instruyendo las distintas quejas o denuncias que se presentan para conocimiento de la Comisión Permanente de Quejas y Denuncias o Procedimiento Contencioso Electoral, y que de ser el caso, lleven a una eventual sanción de quienes infringieron la normativa electoral en la materia, además de dar la atención a los distintos asuntos jurídicos que le sean turnados. </w:t>
      </w:r>
    </w:p>
    <w:p w14:paraId="7DA05C10" w14:textId="77777777" w:rsidR="00BC541B" w:rsidRDefault="00BC541B">
      <w:pPr>
        <w:jc w:val="center"/>
        <w:rPr>
          <w:rFonts w:asciiTheme="majorHAnsi" w:hAnsiTheme="majorHAnsi" w:cstheme="majorHAnsi"/>
          <w:b/>
          <w:bCs/>
          <w:color w:val="800000"/>
          <w:sz w:val="40"/>
          <w:szCs w:val="40"/>
        </w:rPr>
      </w:pPr>
    </w:p>
    <w:p w14:paraId="630DFBAA" w14:textId="77777777" w:rsidR="00BC541B" w:rsidRDefault="00BC541B">
      <w:pPr>
        <w:jc w:val="center"/>
        <w:rPr>
          <w:rFonts w:asciiTheme="majorHAnsi" w:hAnsiTheme="majorHAnsi" w:cstheme="majorHAnsi"/>
          <w:b/>
          <w:bCs/>
          <w:color w:val="800000"/>
          <w:sz w:val="40"/>
          <w:szCs w:val="40"/>
        </w:rPr>
      </w:pPr>
    </w:p>
    <w:p w14:paraId="2A7C975B" w14:textId="77777777" w:rsidR="00BC541B" w:rsidRDefault="00BC541B">
      <w:pPr>
        <w:jc w:val="center"/>
        <w:rPr>
          <w:rFonts w:asciiTheme="majorHAnsi" w:hAnsiTheme="majorHAnsi" w:cstheme="majorHAnsi"/>
          <w:b/>
          <w:bCs/>
          <w:color w:val="800000"/>
          <w:sz w:val="40"/>
          <w:szCs w:val="40"/>
        </w:rPr>
      </w:pPr>
    </w:p>
    <w:p w14:paraId="08C7356F" w14:textId="699BE789" w:rsidR="00BC541B" w:rsidRDefault="00BC541B">
      <w:pPr>
        <w:jc w:val="center"/>
        <w:rPr>
          <w:rFonts w:asciiTheme="majorHAnsi" w:hAnsiTheme="majorHAnsi" w:cstheme="majorHAnsi"/>
          <w:b/>
          <w:bCs/>
          <w:color w:val="800000"/>
          <w:sz w:val="40"/>
          <w:szCs w:val="40"/>
        </w:rPr>
      </w:pPr>
    </w:p>
    <w:p w14:paraId="1D0E6FAD" w14:textId="77777777" w:rsidR="00BD00A5" w:rsidRDefault="00BD00A5">
      <w:pPr>
        <w:jc w:val="center"/>
        <w:rPr>
          <w:rFonts w:asciiTheme="majorHAnsi" w:hAnsiTheme="majorHAnsi" w:cstheme="majorHAnsi"/>
          <w:b/>
          <w:bCs/>
          <w:color w:val="800000"/>
          <w:sz w:val="40"/>
          <w:szCs w:val="40"/>
        </w:rPr>
      </w:pPr>
    </w:p>
    <w:p w14:paraId="5D599FB7" w14:textId="77777777" w:rsidR="00BC541B" w:rsidRDefault="00BC541B">
      <w:pPr>
        <w:jc w:val="center"/>
        <w:rPr>
          <w:rFonts w:asciiTheme="majorHAnsi" w:hAnsiTheme="majorHAnsi" w:cstheme="majorHAnsi"/>
          <w:b/>
          <w:bCs/>
          <w:color w:val="800000"/>
          <w:sz w:val="40"/>
          <w:szCs w:val="40"/>
        </w:rPr>
      </w:pPr>
    </w:p>
    <w:p w14:paraId="0C2F85D3" w14:textId="77777777" w:rsidR="00BC541B" w:rsidRDefault="00BC541B">
      <w:pPr>
        <w:jc w:val="center"/>
        <w:rPr>
          <w:rFonts w:asciiTheme="majorHAnsi" w:hAnsiTheme="majorHAnsi" w:cstheme="majorHAnsi"/>
          <w:b/>
          <w:bCs/>
          <w:color w:val="800000"/>
          <w:sz w:val="40"/>
          <w:szCs w:val="40"/>
        </w:rPr>
      </w:pPr>
    </w:p>
    <w:p w14:paraId="162D9DBC"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Bidi"/>
          <w:b/>
          <w:bCs/>
          <w:color w:val="800000"/>
          <w:sz w:val="40"/>
          <w:szCs w:val="40"/>
        </w:rPr>
        <w:t>OBJETIVOS GENERALES</w:t>
      </w:r>
    </w:p>
    <w:p w14:paraId="6F0903F8" w14:textId="77777777" w:rsidR="00BC541B" w:rsidRDefault="00BC541B">
      <w:pPr>
        <w:jc w:val="both"/>
      </w:pPr>
    </w:p>
    <w:p w14:paraId="47EA36A8" w14:textId="77777777" w:rsidR="00BC541B" w:rsidRDefault="001277CA">
      <w:pPr>
        <w:jc w:val="both"/>
      </w:pPr>
      <w:r>
        <w:t>Ser el órgano técnico y operativo que instruye los procedimientos que son materia de conocimiento de la Comisión Permanente de Quejas y Denuncias o Procedimiento Contencioso Electoral dentro del régimen sancionador electoral y aquellos de remoción en contra de integrantes de órganos desconcentrados, mediante la investigación de presuntos actos de violencia política en contra de las mujeres por razón de género, así como conductas que contravienen las normas sobre propaganda político electoral en los procesos electorales, de participación ciudadana y de revocación de mandato. Además, coadyuvar con la Secretaría Ejecutiva en la representación legal del instituto, atender, brindar servicios de consulta, orientación y asesoría jurídica en asuntos relacionados con la función electoral encomendada, a cualquiera de las áreas que forman parte del Instituto.</w:t>
      </w:r>
    </w:p>
    <w:p w14:paraId="7F3FA4B8" w14:textId="77777777" w:rsidR="00BC541B" w:rsidRDefault="00BC541B">
      <w:pPr>
        <w:jc w:val="both"/>
      </w:pPr>
    </w:p>
    <w:p w14:paraId="479F10F1" w14:textId="77777777" w:rsidR="00BC541B" w:rsidRDefault="001277CA">
      <w:pPr>
        <w:jc w:val="center"/>
        <w:rPr>
          <w:rFonts w:asciiTheme="majorHAnsi" w:hAnsiTheme="majorHAnsi" w:cstheme="majorHAnsi"/>
          <w:b/>
          <w:bCs/>
          <w:color w:val="800000"/>
          <w:sz w:val="40"/>
          <w:szCs w:val="40"/>
        </w:rPr>
      </w:pPr>
      <w:r>
        <w:rPr>
          <w:rFonts w:asciiTheme="majorHAnsi" w:hAnsiTheme="majorHAnsi" w:cstheme="majorBidi"/>
          <w:b/>
          <w:bCs/>
          <w:color w:val="800000"/>
          <w:sz w:val="40"/>
          <w:szCs w:val="40"/>
        </w:rPr>
        <w:t>OBJETIVOS ESPÉCIFICOS</w:t>
      </w:r>
    </w:p>
    <w:p w14:paraId="3C59CF2F" w14:textId="77777777" w:rsidR="00BC541B" w:rsidRDefault="001277CA">
      <w:pPr>
        <w:pStyle w:val="Prrafodelista"/>
        <w:numPr>
          <w:ilvl w:val="0"/>
          <w:numId w:val="6"/>
        </w:numPr>
        <w:jc w:val="both"/>
      </w:pPr>
      <w:r>
        <w:t>Formar parte de las Comisiones o Comités que el Consejo o la normatividad en la materia encomiende.</w:t>
      </w:r>
    </w:p>
    <w:p w14:paraId="5C6E0B8C" w14:textId="77777777" w:rsidR="00BC541B" w:rsidRDefault="001277CA">
      <w:pPr>
        <w:pStyle w:val="Prrafodelista"/>
        <w:numPr>
          <w:ilvl w:val="0"/>
          <w:numId w:val="6"/>
        </w:numPr>
        <w:jc w:val="both"/>
      </w:pPr>
      <w:r>
        <w:t>Sustanciar los Procedimientos Especiales (PES) y Ordinarios Sancionadores (POS) que deriven de quejas en las que denuncien infracciones a la normativa electoral y de Violencia Política contra la Mujer, adoptando u ordenando la adopción de medidas de protección o cautelares cuando corresponda, además de integrar y remitir para su resolución los expedientes al órgano jurisdiccional o al Consejo General del Instituto, según corresponda;</w:t>
      </w:r>
    </w:p>
    <w:p w14:paraId="04BDF306" w14:textId="77777777" w:rsidR="00BC541B" w:rsidRDefault="001277CA">
      <w:pPr>
        <w:pStyle w:val="Prrafodelista"/>
        <w:numPr>
          <w:ilvl w:val="0"/>
          <w:numId w:val="6"/>
        </w:numPr>
        <w:jc w:val="both"/>
      </w:pPr>
      <w:r>
        <w:t xml:space="preserve">Elaborar los oficios necesarios para dar trámite a las diligencias relativas a los procedimientos sancionadores establecidos en la normativa, así como llevar a cabo las notificaciones que requieran formalidades especiales, en todo el Estado de Oaxaca; </w:t>
      </w:r>
    </w:p>
    <w:p w14:paraId="0620D5A5" w14:textId="77777777" w:rsidR="00BC541B" w:rsidRDefault="001277CA">
      <w:pPr>
        <w:pStyle w:val="Prrafodelista"/>
        <w:numPr>
          <w:ilvl w:val="0"/>
          <w:numId w:val="6"/>
        </w:numPr>
        <w:jc w:val="both"/>
      </w:pPr>
      <w:r>
        <w:t>Efectuar las gestiones necesarias a fin de que se proceda al cobro de las multas impuestas por los Procedimientos Ordinarios y Especiales Sancionadores, que no hayan sido pagadas en los términos establecidos en la resolución correspondiente;</w:t>
      </w:r>
    </w:p>
    <w:p w14:paraId="34B0D1B7" w14:textId="77777777" w:rsidR="00BC541B" w:rsidRDefault="001277CA">
      <w:pPr>
        <w:pStyle w:val="Prrafodelista"/>
        <w:numPr>
          <w:ilvl w:val="0"/>
          <w:numId w:val="6"/>
        </w:numPr>
        <w:jc w:val="both"/>
      </w:pPr>
      <w:r>
        <w:t xml:space="preserve">Coadyuvar con la Secretaría Ejecutiva en el ejercicio de la representación legal del IEEPCO, para actos jurisdiccionales y administrativos cuando así lo encomiende. </w:t>
      </w:r>
    </w:p>
    <w:p w14:paraId="7E6A2AD9" w14:textId="77777777" w:rsidR="00BC541B" w:rsidRDefault="001277CA">
      <w:pPr>
        <w:pStyle w:val="Prrafodelista"/>
        <w:numPr>
          <w:ilvl w:val="0"/>
          <w:numId w:val="6"/>
        </w:numPr>
        <w:jc w:val="both"/>
      </w:pPr>
      <w:r>
        <w:t xml:space="preserve">Brindar servicios de asesoría jurídica o legales, atender, orientar o resolver consultas, de naturaleza jurídica a los órganos del IEEPCO, Partidos Políticos, Agrupaciones Políticas y Ciudadanía sobre la aplicación de la normativa en la materia, además de elaborar o revisar proyectos de convenios que en materia electoral celebre el IEEPCO. </w:t>
      </w:r>
    </w:p>
    <w:p w14:paraId="49FAD113" w14:textId="77777777" w:rsidR="00BC541B" w:rsidRDefault="001277CA">
      <w:pPr>
        <w:pStyle w:val="Prrafodelista"/>
        <w:numPr>
          <w:ilvl w:val="0"/>
          <w:numId w:val="6"/>
        </w:numPr>
        <w:jc w:val="both"/>
      </w:pPr>
      <w:r>
        <w:t xml:space="preserve">Preparar y/o revisar, proyectos de acuerdos, lineamientos, reglamentos y demás disposiciones jurídicas que deban ser expedidos para el buen funcionamiento del IEEPCO, </w:t>
      </w:r>
      <w:r>
        <w:lastRenderedPageBreak/>
        <w:t>además de dirigir, coordinar, supervisar y evaluar actividades y consultas que sobre la normatividad presenten a los órganos del Instituto.</w:t>
      </w:r>
    </w:p>
    <w:p w14:paraId="3633A4B0" w14:textId="77777777" w:rsidR="00BC541B" w:rsidRDefault="001277CA">
      <w:pPr>
        <w:pStyle w:val="Prrafodelista"/>
        <w:numPr>
          <w:ilvl w:val="0"/>
          <w:numId w:val="6"/>
        </w:numPr>
        <w:jc w:val="both"/>
      </w:pPr>
      <w:r>
        <w:t xml:space="preserve">Implementar los mecanismos de coordinación con las diferentes dependencias, entidades o instancias con las que, por necesidades del servicio y sus programas específicos, obliguen a relacionarse. </w:t>
      </w:r>
    </w:p>
    <w:p w14:paraId="7641C528" w14:textId="77777777" w:rsidR="00BC541B" w:rsidRDefault="001277CA">
      <w:pPr>
        <w:pStyle w:val="Prrafodelista"/>
        <w:numPr>
          <w:ilvl w:val="0"/>
          <w:numId w:val="6"/>
        </w:numPr>
        <w:jc w:val="both"/>
      </w:pPr>
      <w:r>
        <w:t>Coadyuvar con la Secretaría Ejecutiva en el trámite y sustanciación de los medios de impugnación que sean de su competencia, así como en la integración de informes que correspondan.</w:t>
      </w:r>
    </w:p>
    <w:p w14:paraId="54358BD6" w14:textId="77777777" w:rsidR="00BC541B" w:rsidRDefault="001277CA">
      <w:pPr>
        <w:pStyle w:val="Prrafodelista"/>
        <w:numPr>
          <w:ilvl w:val="0"/>
          <w:numId w:val="6"/>
        </w:numPr>
        <w:jc w:val="both"/>
      </w:pPr>
      <w:r>
        <w:t xml:space="preserve">Para el caso del inicio de un proceso electoral de carácter extraordinario, formular proyectos de resolución de los recursos de revisión que se presenten en contra de las resoluciones de los consejos distritales o municipales. </w:t>
      </w:r>
    </w:p>
    <w:p w14:paraId="254277C5" w14:textId="77777777" w:rsidR="00BC541B" w:rsidRDefault="001277CA">
      <w:pPr>
        <w:pStyle w:val="Prrafodelista"/>
        <w:numPr>
          <w:ilvl w:val="0"/>
          <w:numId w:val="6"/>
        </w:numPr>
        <w:jc w:val="both"/>
      </w:pPr>
      <w:r>
        <w:t>En los casos que corresponda, dar cumplimiento a las sentencias y/o requerimientos del Tribunal local y las Salas Electorales del Poder Judicial de la Federación.</w:t>
      </w:r>
    </w:p>
    <w:p w14:paraId="7DDEC962" w14:textId="77777777" w:rsidR="00BC541B" w:rsidRDefault="001277CA">
      <w:pPr>
        <w:pStyle w:val="Prrafodelista"/>
        <w:numPr>
          <w:ilvl w:val="0"/>
          <w:numId w:val="6"/>
        </w:numPr>
        <w:jc w:val="both"/>
      </w:pPr>
      <w:r>
        <w:t xml:space="preserve">En los casos que corresponda, traducir la documentación o elementos técnicos que se encuentren en alguna lengua originaria. </w:t>
      </w:r>
    </w:p>
    <w:p w14:paraId="01F9910B" w14:textId="77777777" w:rsidR="00BC541B" w:rsidRDefault="00BC541B">
      <w:pPr>
        <w:jc w:val="both"/>
        <w:rPr>
          <w:rFonts w:asciiTheme="majorHAnsi" w:hAnsiTheme="majorHAnsi" w:cstheme="majorBidi"/>
          <w:b/>
          <w:bCs/>
          <w:color w:val="800000"/>
          <w:sz w:val="40"/>
          <w:szCs w:val="40"/>
        </w:rPr>
      </w:pPr>
    </w:p>
    <w:p w14:paraId="5E3E099E" w14:textId="77777777" w:rsidR="00BC541B" w:rsidRDefault="00BC541B">
      <w:pPr>
        <w:jc w:val="both"/>
        <w:rPr>
          <w:rFonts w:asciiTheme="majorHAnsi" w:hAnsiTheme="majorHAnsi" w:cstheme="majorBidi"/>
          <w:b/>
          <w:bCs/>
          <w:color w:val="800000"/>
          <w:sz w:val="40"/>
          <w:szCs w:val="40"/>
        </w:rPr>
      </w:pPr>
    </w:p>
    <w:p w14:paraId="0D03DC34" w14:textId="77777777" w:rsidR="00BC541B" w:rsidRDefault="00BC541B">
      <w:pPr>
        <w:jc w:val="center"/>
        <w:rPr>
          <w:rFonts w:asciiTheme="majorHAnsi" w:hAnsiTheme="majorHAnsi" w:cstheme="majorBidi"/>
          <w:b/>
          <w:bCs/>
          <w:color w:val="800000"/>
          <w:sz w:val="40"/>
          <w:szCs w:val="40"/>
        </w:rPr>
      </w:pPr>
    </w:p>
    <w:p w14:paraId="68236D49" w14:textId="77777777" w:rsidR="00BC541B" w:rsidRDefault="00BC541B">
      <w:pPr>
        <w:jc w:val="center"/>
        <w:rPr>
          <w:rFonts w:asciiTheme="majorHAnsi" w:hAnsiTheme="majorHAnsi" w:cstheme="majorBidi"/>
          <w:b/>
          <w:bCs/>
          <w:color w:val="800000"/>
          <w:sz w:val="40"/>
          <w:szCs w:val="40"/>
        </w:rPr>
      </w:pPr>
    </w:p>
    <w:p w14:paraId="322484C7" w14:textId="77777777" w:rsidR="00BC541B" w:rsidRDefault="00BC541B">
      <w:pPr>
        <w:jc w:val="center"/>
        <w:rPr>
          <w:rFonts w:asciiTheme="majorHAnsi" w:hAnsiTheme="majorHAnsi" w:cstheme="majorBidi"/>
          <w:b/>
          <w:bCs/>
          <w:color w:val="800000"/>
          <w:sz w:val="40"/>
          <w:szCs w:val="40"/>
        </w:rPr>
      </w:pPr>
    </w:p>
    <w:p w14:paraId="3E06986A" w14:textId="77777777" w:rsidR="00BC541B" w:rsidRDefault="00BC541B">
      <w:pPr>
        <w:jc w:val="center"/>
        <w:rPr>
          <w:rFonts w:asciiTheme="majorHAnsi" w:hAnsiTheme="majorHAnsi" w:cstheme="majorBidi"/>
          <w:b/>
          <w:bCs/>
          <w:color w:val="800000"/>
          <w:sz w:val="40"/>
          <w:szCs w:val="40"/>
        </w:rPr>
      </w:pPr>
    </w:p>
    <w:p w14:paraId="1E11F759" w14:textId="77777777" w:rsidR="00BC541B" w:rsidRDefault="00BC541B">
      <w:pPr>
        <w:jc w:val="center"/>
        <w:rPr>
          <w:rFonts w:asciiTheme="majorHAnsi" w:hAnsiTheme="majorHAnsi" w:cstheme="majorBidi"/>
          <w:b/>
          <w:bCs/>
          <w:color w:val="800000"/>
          <w:sz w:val="40"/>
          <w:szCs w:val="40"/>
        </w:rPr>
      </w:pPr>
    </w:p>
    <w:p w14:paraId="324AC6D5" w14:textId="77777777" w:rsidR="00BC541B" w:rsidRDefault="00BC541B">
      <w:pPr>
        <w:jc w:val="center"/>
        <w:rPr>
          <w:rFonts w:asciiTheme="majorHAnsi" w:hAnsiTheme="majorHAnsi" w:cstheme="majorBidi"/>
          <w:b/>
          <w:bCs/>
          <w:color w:val="800000"/>
          <w:sz w:val="40"/>
          <w:szCs w:val="40"/>
        </w:rPr>
      </w:pPr>
    </w:p>
    <w:p w14:paraId="79BAA760" w14:textId="77777777" w:rsidR="00BC541B" w:rsidRDefault="00BC541B">
      <w:pPr>
        <w:jc w:val="center"/>
        <w:rPr>
          <w:rFonts w:asciiTheme="majorHAnsi" w:hAnsiTheme="majorHAnsi" w:cstheme="majorBidi"/>
          <w:b/>
          <w:bCs/>
          <w:color w:val="800000"/>
          <w:sz w:val="40"/>
          <w:szCs w:val="40"/>
        </w:rPr>
      </w:pPr>
    </w:p>
    <w:p w14:paraId="08B41174" w14:textId="77777777" w:rsidR="00BC541B" w:rsidRDefault="00BC541B">
      <w:pPr>
        <w:jc w:val="center"/>
        <w:rPr>
          <w:rFonts w:asciiTheme="majorHAnsi" w:hAnsiTheme="majorHAnsi" w:cstheme="majorBidi"/>
          <w:b/>
          <w:bCs/>
          <w:color w:val="800000"/>
          <w:sz w:val="40"/>
          <w:szCs w:val="40"/>
        </w:rPr>
      </w:pPr>
    </w:p>
    <w:p w14:paraId="7F0E411D" w14:textId="77777777" w:rsidR="00BC541B" w:rsidRDefault="00BC541B">
      <w:pPr>
        <w:jc w:val="center"/>
        <w:rPr>
          <w:rFonts w:asciiTheme="majorHAnsi" w:hAnsiTheme="majorHAnsi" w:cstheme="majorBidi"/>
          <w:b/>
          <w:bCs/>
          <w:color w:val="800000"/>
          <w:sz w:val="40"/>
          <w:szCs w:val="40"/>
        </w:rPr>
      </w:pPr>
    </w:p>
    <w:p w14:paraId="25F6EFCC" w14:textId="77777777" w:rsidR="00BC541B" w:rsidRDefault="00BC541B">
      <w:pPr>
        <w:jc w:val="both"/>
        <w:rPr>
          <w:rFonts w:cstheme="minorHAnsi"/>
          <w:color w:val="000000" w:themeColor="text1"/>
          <w:sz w:val="24"/>
          <w:szCs w:val="24"/>
        </w:rPr>
      </w:pPr>
    </w:p>
    <w:p w14:paraId="058929F6" w14:textId="77777777" w:rsidR="00BC541B" w:rsidRDefault="00BC541B">
      <w:pPr>
        <w:jc w:val="both"/>
        <w:rPr>
          <w:rFonts w:cstheme="minorHAnsi"/>
          <w:b/>
          <w:bCs/>
          <w:color w:val="800000"/>
          <w:sz w:val="24"/>
          <w:szCs w:val="24"/>
        </w:rPr>
        <w:sectPr w:rsidR="00BC541B">
          <w:headerReference w:type="default" r:id="rId11"/>
          <w:footerReference w:type="default" r:id="rId12"/>
          <w:headerReference w:type="first" r:id="rId13"/>
          <w:footerReference w:type="first" r:id="rId14"/>
          <w:pgSz w:w="12240" w:h="15840"/>
          <w:pgMar w:top="1749" w:right="1701" w:bottom="1701" w:left="1701" w:header="709" w:footer="709" w:gutter="0"/>
          <w:pgNumType w:start="0"/>
          <w:cols w:space="708"/>
          <w:titlePg/>
          <w:docGrid w:linePitch="360"/>
        </w:sectPr>
      </w:pPr>
    </w:p>
    <w:p w14:paraId="49591A43" w14:textId="47863EBB" w:rsidR="00BC541B" w:rsidRDefault="001277CA">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lastRenderedPageBreak/>
        <w:t>ORGANIGRAMA</w:t>
      </w:r>
    </w:p>
    <w:p w14:paraId="64B87E19" w14:textId="10FBDA03" w:rsidR="00BC541B" w:rsidRDefault="0088649C">
      <w:pPr>
        <w:jc w:val="center"/>
        <w:rPr>
          <w:rFonts w:asciiTheme="majorHAnsi" w:hAnsiTheme="majorHAnsi" w:cstheme="majorHAnsi"/>
          <w:b/>
          <w:bCs/>
          <w:color w:val="800000"/>
          <w:sz w:val="40"/>
          <w:szCs w:val="40"/>
        </w:rPr>
      </w:pPr>
      <w:r w:rsidRPr="00E15745">
        <w:rPr>
          <w:noProof/>
          <w:sz w:val="24"/>
          <w:szCs w:val="24"/>
        </w:rPr>
        <w:drawing>
          <wp:anchor distT="0" distB="0" distL="114300" distR="114300" simplePos="0" relativeHeight="251668480" behindDoc="1" locked="0" layoutInCell="1" allowOverlap="1" wp14:anchorId="729ACB47" wp14:editId="35405EE9">
            <wp:simplePos x="0" y="0"/>
            <wp:positionH relativeFrom="column">
              <wp:posOffset>-822960</wp:posOffset>
            </wp:positionH>
            <wp:positionV relativeFrom="paragraph">
              <wp:posOffset>226695</wp:posOffset>
            </wp:positionV>
            <wp:extent cx="9467850" cy="5657850"/>
            <wp:effectExtent l="0" t="38100" r="0" b="19050"/>
            <wp:wrapNone/>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margin">
              <wp14:pctWidth>0</wp14:pctWidth>
            </wp14:sizeRelH>
            <wp14:sizeRelV relativeFrom="margin">
              <wp14:pctHeight>0</wp14:pctHeight>
            </wp14:sizeRelV>
          </wp:anchor>
        </w:drawing>
      </w:r>
    </w:p>
    <w:p w14:paraId="34578202" w14:textId="0CE11BF6" w:rsidR="00BC541B" w:rsidRDefault="00BC541B">
      <w:pPr>
        <w:jc w:val="center"/>
        <w:rPr>
          <w:rFonts w:asciiTheme="majorHAnsi" w:hAnsiTheme="majorHAnsi" w:cstheme="majorHAnsi"/>
          <w:b/>
          <w:bCs/>
          <w:color w:val="800000"/>
          <w:sz w:val="40"/>
          <w:szCs w:val="40"/>
        </w:rPr>
      </w:pPr>
    </w:p>
    <w:p w14:paraId="138474A1" w14:textId="6C8A4994" w:rsidR="00BC541B" w:rsidRDefault="00BC541B">
      <w:pPr>
        <w:jc w:val="center"/>
        <w:rPr>
          <w:rFonts w:asciiTheme="majorHAnsi" w:hAnsiTheme="majorHAnsi" w:cstheme="majorHAnsi"/>
          <w:b/>
          <w:bCs/>
          <w:color w:val="800000"/>
          <w:sz w:val="40"/>
          <w:szCs w:val="40"/>
        </w:rPr>
      </w:pPr>
    </w:p>
    <w:p w14:paraId="16BE5975" w14:textId="5185B19E" w:rsidR="00BC541B" w:rsidRDefault="00BC541B" w:rsidP="00C03FAF">
      <w:pPr>
        <w:rPr>
          <w:rFonts w:asciiTheme="majorHAnsi" w:hAnsiTheme="majorHAnsi" w:cstheme="majorHAnsi"/>
          <w:b/>
          <w:bCs/>
          <w:color w:val="800000"/>
          <w:sz w:val="40"/>
          <w:szCs w:val="40"/>
        </w:rPr>
      </w:pPr>
    </w:p>
    <w:p w14:paraId="3871AE86" w14:textId="77777777" w:rsidR="00C03FAF" w:rsidRDefault="00C03FAF">
      <w:pPr>
        <w:jc w:val="center"/>
        <w:rPr>
          <w:rFonts w:asciiTheme="majorHAnsi" w:hAnsiTheme="majorHAnsi" w:cstheme="majorHAnsi"/>
          <w:b/>
          <w:bCs/>
          <w:color w:val="800000"/>
          <w:sz w:val="40"/>
          <w:szCs w:val="40"/>
        </w:rPr>
      </w:pPr>
    </w:p>
    <w:p w14:paraId="6A2893BA" w14:textId="77777777" w:rsidR="00C03FAF" w:rsidRDefault="00C03FAF">
      <w:pPr>
        <w:jc w:val="center"/>
        <w:rPr>
          <w:rFonts w:asciiTheme="majorHAnsi" w:hAnsiTheme="majorHAnsi" w:cstheme="majorHAnsi"/>
          <w:b/>
          <w:bCs/>
          <w:color w:val="800000"/>
          <w:sz w:val="40"/>
          <w:szCs w:val="40"/>
        </w:rPr>
      </w:pPr>
    </w:p>
    <w:p w14:paraId="04327A9B" w14:textId="77777777" w:rsidR="00C03FAF" w:rsidRDefault="00C03FAF">
      <w:pPr>
        <w:jc w:val="center"/>
        <w:rPr>
          <w:rFonts w:asciiTheme="majorHAnsi" w:hAnsiTheme="majorHAnsi" w:cstheme="majorHAnsi"/>
          <w:b/>
          <w:bCs/>
          <w:color w:val="800000"/>
          <w:sz w:val="40"/>
          <w:szCs w:val="40"/>
        </w:rPr>
      </w:pPr>
    </w:p>
    <w:p w14:paraId="64AEF5F2" w14:textId="77777777" w:rsidR="00C03FAF" w:rsidRDefault="00C03FAF">
      <w:pPr>
        <w:jc w:val="center"/>
        <w:rPr>
          <w:rFonts w:asciiTheme="majorHAnsi" w:hAnsiTheme="majorHAnsi" w:cstheme="majorHAnsi"/>
          <w:b/>
          <w:bCs/>
          <w:color w:val="800000"/>
          <w:sz w:val="40"/>
          <w:szCs w:val="40"/>
        </w:rPr>
      </w:pPr>
    </w:p>
    <w:p w14:paraId="4B2C9129" w14:textId="77777777" w:rsidR="00C03FAF" w:rsidRDefault="00C03FAF">
      <w:pPr>
        <w:jc w:val="center"/>
        <w:rPr>
          <w:rFonts w:asciiTheme="majorHAnsi" w:hAnsiTheme="majorHAnsi" w:cstheme="majorHAnsi"/>
          <w:b/>
          <w:bCs/>
          <w:color w:val="800000"/>
          <w:sz w:val="40"/>
          <w:szCs w:val="40"/>
        </w:rPr>
      </w:pPr>
    </w:p>
    <w:p w14:paraId="61CABA91" w14:textId="77777777" w:rsidR="00C03FAF" w:rsidRDefault="00C03FAF">
      <w:pPr>
        <w:jc w:val="center"/>
        <w:rPr>
          <w:rFonts w:asciiTheme="majorHAnsi" w:hAnsiTheme="majorHAnsi" w:cstheme="majorHAnsi"/>
          <w:b/>
          <w:bCs/>
          <w:color w:val="800000"/>
          <w:sz w:val="40"/>
          <w:szCs w:val="40"/>
        </w:rPr>
      </w:pPr>
    </w:p>
    <w:p w14:paraId="5487CC35" w14:textId="77777777" w:rsidR="00C03FAF" w:rsidRDefault="00C03FAF">
      <w:pPr>
        <w:jc w:val="center"/>
        <w:rPr>
          <w:rFonts w:asciiTheme="majorHAnsi" w:hAnsiTheme="majorHAnsi" w:cstheme="majorHAnsi"/>
          <w:b/>
          <w:bCs/>
          <w:color w:val="800000"/>
          <w:sz w:val="40"/>
          <w:szCs w:val="40"/>
        </w:rPr>
      </w:pPr>
    </w:p>
    <w:p w14:paraId="5D37872A" w14:textId="77777777" w:rsidR="00C03FAF" w:rsidRDefault="00C03FAF">
      <w:pPr>
        <w:jc w:val="center"/>
        <w:rPr>
          <w:rFonts w:asciiTheme="majorHAnsi" w:hAnsiTheme="majorHAnsi" w:cstheme="majorHAnsi"/>
          <w:b/>
          <w:bCs/>
          <w:color w:val="800000"/>
          <w:sz w:val="40"/>
          <w:szCs w:val="40"/>
        </w:rPr>
      </w:pPr>
    </w:p>
    <w:p w14:paraId="6E21DE84" w14:textId="45A92BE2" w:rsidR="00BC541B" w:rsidRDefault="001277CA" w:rsidP="00D13297">
      <w:pP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VINCULACIÓN A LA ESTRUCTURA ORGANIZACIONAL</w:t>
      </w:r>
    </w:p>
    <w:tbl>
      <w:tblPr>
        <w:tblStyle w:val="Tablaconcuadrcula"/>
        <w:tblpPr w:leftFromText="141" w:rightFromText="141" w:vertAnchor="page" w:horzAnchor="margin" w:tblpXSpec="center" w:tblpY="2446"/>
        <w:tblW w:w="12780" w:type="dxa"/>
        <w:tblLayout w:type="fixed"/>
        <w:tblLook w:val="04A0" w:firstRow="1" w:lastRow="0" w:firstColumn="1" w:lastColumn="0" w:noHBand="0" w:noVBand="1"/>
      </w:tblPr>
      <w:tblGrid>
        <w:gridCol w:w="1838"/>
        <w:gridCol w:w="3059"/>
        <w:gridCol w:w="3887"/>
        <w:gridCol w:w="2410"/>
        <w:gridCol w:w="1586"/>
      </w:tblGrid>
      <w:tr w:rsidR="00BC541B" w14:paraId="19E7D0FA" w14:textId="77777777">
        <w:trPr>
          <w:trHeight w:val="451"/>
        </w:trPr>
        <w:tc>
          <w:tcPr>
            <w:tcW w:w="1838" w:type="dxa"/>
            <w:shd w:val="clear" w:color="auto" w:fill="800000"/>
            <w:vAlign w:val="center"/>
          </w:tcPr>
          <w:p w14:paraId="24627042"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NOMBRE</w:t>
            </w:r>
          </w:p>
        </w:tc>
        <w:tc>
          <w:tcPr>
            <w:tcW w:w="3059" w:type="dxa"/>
            <w:shd w:val="clear" w:color="auto" w:fill="800000"/>
            <w:vAlign w:val="center"/>
          </w:tcPr>
          <w:p w14:paraId="6F794E31"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NIVEL ORGANIZACIONAL</w:t>
            </w:r>
          </w:p>
        </w:tc>
        <w:tc>
          <w:tcPr>
            <w:tcW w:w="3887" w:type="dxa"/>
            <w:shd w:val="clear" w:color="auto" w:fill="800000"/>
            <w:vAlign w:val="center"/>
          </w:tcPr>
          <w:p w14:paraId="1BB9B32D"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ACTIVIDAD</w:t>
            </w:r>
          </w:p>
          <w:p w14:paraId="3E1B851D"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ESPECÍFICA</w:t>
            </w:r>
          </w:p>
        </w:tc>
        <w:tc>
          <w:tcPr>
            <w:tcW w:w="2410" w:type="dxa"/>
            <w:shd w:val="clear" w:color="auto" w:fill="800000"/>
            <w:vAlign w:val="center"/>
          </w:tcPr>
          <w:p w14:paraId="40CE731D"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ACTIVIDAD INSTITUCIONAL</w:t>
            </w:r>
          </w:p>
        </w:tc>
        <w:tc>
          <w:tcPr>
            <w:tcW w:w="1586" w:type="dxa"/>
            <w:shd w:val="clear" w:color="auto" w:fill="800000"/>
            <w:vAlign w:val="center"/>
          </w:tcPr>
          <w:p w14:paraId="4B23079C" w14:textId="77777777" w:rsidR="00BC541B" w:rsidRDefault="001277CA">
            <w:pPr>
              <w:spacing w:after="0" w:line="240" w:lineRule="auto"/>
              <w:jc w:val="center"/>
              <w:rPr>
                <w:rFonts w:asciiTheme="majorHAnsi" w:hAnsiTheme="majorHAnsi" w:cstheme="majorHAnsi"/>
                <w:b/>
                <w:bCs/>
                <w:color w:val="FFFFFF" w:themeColor="background1"/>
                <w:sz w:val="17"/>
                <w:szCs w:val="17"/>
              </w:rPr>
            </w:pPr>
            <w:r>
              <w:rPr>
                <w:rFonts w:asciiTheme="majorHAnsi" w:hAnsiTheme="majorHAnsi" w:cstheme="majorHAnsi"/>
                <w:b/>
                <w:bCs/>
                <w:color w:val="FFFFFF" w:themeColor="background1"/>
                <w:sz w:val="17"/>
                <w:szCs w:val="17"/>
              </w:rPr>
              <w:t>TIPO DE CONTRATACIÓN</w:t>
            </w:r>
          </w:p>
        </w:tc>
      </w:tr>
      <w:tr w:rsidR="00BC541B" w14:paraId="1AFE3A14" w14:textId="77777777">
        <w:trPr>
          <w:trHeight w:val="451"/>
        </w:trPr>
        <w:tc>
          <w:tcPr>
            <w:tcW w:w="1838" w:type="dxa"/>
            <w:vAlign w:val="center"/>
          </w:tcPr>
          <w:p w14:paraId="6D48D079"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Lic. Luisa Anahí Galindo Velazco. </w:t>
            </w:r>
          </w:p>
        </w:tc>
        <w:tc>
          <w:tcPr>
            <w:tcW w:w="3059" w:type="dxa"/>
            <w:vAlign w:val="center"/>
          </w:tcPr>
          <w:p w14:paraId="1D72A10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Titular de la Unidad Técnica Jurídica y de lo Contencioso o Electoral.</w:t>
            </w:r>
          </w:p>
        </w:tc>
        <w:tc>
          <w:tcPr>
            <w:tcW w:w="3887" w:type="dxa"/>
            <w:vAlign w:val="center"/>
          </w:tcPr>
          <w:p w14:paraId="2DC2D824"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 Coadyuvar con la Secretaría Ejecutiva en el ejercicio de la representación legal del IEEPCO, para actos jurisdiccionales y administrativos cuando así se le delegue por ésta, mediante mandato expreso para un acto específico; </w:t>
            </w:r>
          </w:p>
          <w:p w14:paraId="26EAAE8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 Previa instrucción de la Secretaría Ejecutiva, brindar servicios de asesoría jurídica en general y electoral, en particular, a los órganos del IEEPCO; </w:t>
            </w:r>
          </w:p>
          <w:p w14:paraId="1436358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III. Colaborar con la Secretaría Ejecutiva en los asuntos derivados de la regulación del Estatuto; </w:t>
            </w:r>
          </w:p>
          <w:p w14:paraId="7EB056A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IV. Atender y resolver las consultas sobre la aplicación de la Ley Electoral, del Estatuto y demás dispositivos legales que le formulen los diversos órganos del IEEPCO con el objeto de conformar criterios de interpretación legal y, en su caso, precedentes a observar; </w:t>
            </w:r>
          </w:p>
          <w:p w14:paraId="4DF84F7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 Preparar y/o revisar proyectos de Reglamentos y demás disposiciones jurídicas necesarias para el buen funcionamiento del IEEPCO; </w:t>
            </w:r>
          </w:p>
          <w:p w14:paraId="4A0DF83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 Preparar o, en su caso, revisar los proyectos de los diversos Acuerdos y lineamientos que deban ser expedidos por los Órganos del IEEPCO; </w:t>
            </w:r>
          </w:p>
          <w:p w14:paraId="14F89B0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Dirigir, coordinar, supervisar y evaluar las actividades y consultas que sobre normatividad presenten a los Órganos del IEEPCO; </w:t>
            </w:r>
          </w:p>
          <w:p w14:paraId="2060C3E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VIII. Brindar servicios legales a los Órganos del IEEPCO, así como de orientación a los Partidos Políticos, Agrupaciones Políticas y a la Ciudadanía;</w:t>
            </w:r>
          </w:p>
          <w:p w14:paraId="3B480C4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IX. Coadyuvar con la Secretaría Ejecutiva en el trámite y sustanciación en los medios de impugnación que sean de su competencia; </w:t>
            </w:r>
          </w:p>
          <w:p w14:paraId="560C8CD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 Coadyuvar con la Secretaría Ejecutiva en la formulación de los proyectos de Resolución de los Recursos de Revisión que se presenten en el Proceso Electoral, en contra de las Resoluciones que emitan los </w:t>
            </w:r>
            <w:r>
              <w:rPr>
                <w:rFonts w:asciiTheme="majorHAnsi" w:hAnsiTheme="majorHAnsi" w:cstheme="majorHAnsi"/>
                <w:color w:val="000000" w:themeColor="text1"/>
                <w:sz w:val="17"/>
                <w:szCs w:val="17"/>
              </w:rPr>
              <w:lastRenderedPageBreak/>
              <w:t xml:space="preserve">Consejos Distritales o Municipales, para su presentación ante el Consejo General del IEEPCO; </w:t>
            </w:r>
          </w:p>
          <w:p w14:paraId="3A84B82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 Llevar a cabo las notificaciones que conforme a la Ley Reglamentaria requiera formalidades especiales; </w:t>
            </w:r>
          </w:p>
          <w:p w14:paraId="109A718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 Revisar los proyectos de los convenios que en materia electoral celebre el IEEPCO por conducto de la Presidencia; </w:t>
            </w:r>
          </w:p>
          <w:p w14:paraId="100270C9" w14:textId="053EE9A6"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XIII.  Implementar los mecanismos de coordinación con las dependencias, entidades o instancias con las que, por necesidades del servicio y sus programas específicos, obliguen a relacionarse, previo acuerdo con la Secretaría Ejecutiva; </w:t>
            </w:r>
          </w:p>
          <w:p w14:paraId="48AD849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XIV. Sustanciar los Procedimientos Especiales y Ordinarios Sancionadores que deriven de quejas en las que se denuncien infracciones a la normatividad electoral;</w:t>
            </w:r>
          </w:p>
          <w:p w14:paraId="43C4903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 Apoyar a la Secretaría Ejecutiva en la integración de informes que correspondan, relativos a los asuntos de su competencia; </w:t>
            </w:r>
          </w:p>
          <w:p w14:paraId="66DC5A8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 Remitir para su resolución los expedientes de los Procedimientos Especiales Sancionadores al Tribunal Electoral del Estado de Oaxaca; </w:t>
            </w:r>
          </w:p>
          <w:p w14:paraId="2E89C5C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XVII. Remitir a la Comisión de Quejas y Denuncias los proyectos de resolución de los Procedimientos Ordinarios y así como los relacionados con la adopción de medidas cautelares;</w:t>
            </w:r>
          </w:p>
          <w:p w14:paraId="76747FB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XVIII. Emitir los oficios necesarios para dar trámite a las diligencias relativas a los Procedimientos Sancionadores que establece la LIPEEO y La Ley Electoral Nacional vigente; </w:t>
            </w:r>
          </w:p>
          <w:p w14:paraId="6E5459F5"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XIX. Efectuar las gestiones necesarias a fin de que se proceda al cobro de las multas impuestas por los Procedimientos Ordinarios y Especiales Sancionadores, que no hayan sido pagadas en los términos establecidos en la resolución correspondiente; </w:t>
            </w:r>
          </w:p>
          <w:p w14:paraId="350BFB2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 Integrar el expediente que corresponda y remitirlo a las autoridades competentes, cuando se tenga constancia del incumplimiento a lo establecido en la normatividad electoral; </w:t>
            </w:r>
          </w:p>
          <w:p w14:paraId="6DC816A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XXI. Formar parte de las Comisiones o Comités, que el Consejo o la normatividad del IEEPCO le encomienden; </w:t>
            </w:r>
          </w:p>
          <w:p w14:paraId="35FECF0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XXII. </w:t>
            </w:r>
            <w:r>
              <w:rPr>
                <w:rFonts w:asciiTheme="majorHAnsi" w:hAnsiTheme="majorHAnsi" w:cstheme="majorHAnsi"/>
                <w:sz w:val="17"/>
                <w:szCs w:val="17"/>
              </w:rPr>
              <w:t xml:space="preserve"> </w:t>
            </w:r>
            <w:r>
              <w:rPr>
                <w:rFonts w:asciiTheme="majorHAnsi" w:hAnsiTheme="majorHAnsi" w:cstheme="majorHAnsi"/>
                <w:color w:val="000000" w:themeColor="text1"/>
                <w:sz w:val="17"/>
                <w:szCs w:val="17"/>
              </w:rPr>
              <w:t>realizar las gestiones necesarias para recabar las firmas de quienes integran la Comisión y su Secretaría Técnica.</w:t>
            </w:r>
          </w:p>
          <w:p w14:paraId="3361939B" w14:textId="77777777" w:rsidR="00BC541B" w:rsidRDefault="00BC541B">
            <w:pPr>
              <w:spacing w:after="0" w:line="240" w:lineRule="auto"/>
              <w:jc w:val="both"/>
              <w:rPr>
                <w:rFonts w:asciiTheme="majorHAnsi" w:hAnsiTheme="majorHAnsi" w:cstheme="majorHAnsi"/>
                <w:color w:val="000000" w:themeColor="text1"/>
                <w:sz w:val="17"/>
                <w:szCs w:val="17"/>
              </w:rPr>
            </w:pPr>
          </w:p>
          <w:p w14:paraId="06FC1FB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XXIII. Organización y supervisión de las actividades asignadas por ley.  </w:t>
            </w:r>
          </w:p>
          <w:p w14:paraId="7B34B19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XXIV. Coadyuvar con la Presidencia del Instituto, otras Consejerías, la Secretaría Ejecutiva o demás áreas dentro del Instituto, en aquello que lo requieran de acuerdo al área de conocimiento de la Unidad.</w:t>
            </w:r>
          </w:p>
          <w:p w14:paraId="43835F24"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XXV. Coordinar al personal del área de Quejas y Denuncias, la Unidad Técnica Jurídica, la Oficialía Electoral, y la Oficialía de partes, para el mejor desempeño de las funciones que les corresponde.</w:t>
            </w:r>
          </w:p>
          <w:p w14:paraId="5F31A67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XXVI. Coordinar la recepción, control, trámite, emisión de los informes circunstanciados y remisión de la documentación de los medios de impugnación al órgano jurisdiccional. </w:t>
            </w:r>
          </w:p>
          <w:p w14:paraId="1E72AE54"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XXVII. Realizar la convocatoria, invitaciones, orden del día, elaboración del acta, y todo lo relacionado con las sesiones ordinarias y extraordinarias de la Comisión de Quejas y Denuncias. </w:t>
            </w:r>
          </w:p>
          <w:p w14:paraId="51975E55" w14:textId="56F3717A" w:rsidR="00BC541B" w:rsidRDefault="001277CA" w:rsidP="00E16CD5">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XXVIII. Delegar cualquiera de las funciones previas en alguna de las coordinaciones que integran el área o personal a su cargo. </w:t>
            </w:r>
          </w:p>
        </w:tc>
        <w:tc>
          <w:tcPr>
            <w:tcW w:w="2410" w:type="dxa"/>
          </w:tcPr>
          <w:p w14:paraId="43E77AB0" w14:textId="77777777" w:rsidR="00BC541B" w:rsidRDefault="00BC541B">
            <w:pPr>
              <w:spacing w:after="0" w:line="240" w:lineRule="auto"/>
              <w:rPr>
                <w:rFonts w:asciiTheme="majorHAnsi" w:hAnsiTheme="majorHAnsi" w:cstheme="majorHAnsi"/>
                <w:color w:val="000000" w:themeColor="text1"/>
                <w:sz w:val="17"/>
                <w:szCs w:val="17"/>
              </w:rPr>
            </w:pPr>
          </w:p>
          <w:p w14:paraId="07047F38" w14:textId="77777777" w:rsidR="00BC541B" w:rsidRDefault="00BC541B">
            <w:pPr>
              <w:spacing w:after="0" w:line="240" w:lineRule="auto"/>
              <w:rPr>
                <w:rFonts w:asciiTheme="majorHAnsi" w:hAnsiTheme="majorHAnsi" w:cstheme="majorHAnsi"/>
                <w:color w:val="000000" w:themeColor="text1"/>
                <w:sz w:val="17"/>
                <w:szCs w:val="17"/>
              </w:rPr>
            </w:pPr>
          </w:p>
          <w:p w14:paraId="27CF845E" w14:textId="77777777" w:rsidR="00BC541B" w:rsidRDefault="00BC541B">
            <w:pPr>
              <w:spacing w:after="0" w:line="240" w:lineRule="auto"/>
              <w:rPr>
                <w:rFonts w:asciiTheme="majorHAnsi" w:hAnsiTheme="majorHAnsi" w:cstheme="majorHAnsi"/>
                <w:color w:val="000000" w:themeColor="text1"/>
                <w:sz w:val="17"/>
                <w:szCs w:val="17"/>
              </w:rPr>
            </w:pPr>
          </w:p>
          <w:p w14:paraId="65AD1485" w14:textId="77777777" w:rsidR="00BC541B" w:rsidRDefault="00BC541B">
            <w:pPr>
              <w:spacing w:after="0" w:line="240" w:lineRule="auto"/>
              <w:rPr>
                <w:rFonts w:asciiTheme="majorHAnsi" w:hAnsiTheme="majorHAnsi" w:cstheme="majorHAnsi"/>
                <w:color w:val="000000" w:themeColor="text1"/>
                <w:sz w:val="17"/>
                <w:szCs w:val="17"/>
              </w:rPr>
            </w:pPr>
          </w:p>
          <w:p w14:paraId="5FC6A480" w14:textId="77777777" w:rsidR="00BC541B" w:rsidRDefault="00BC541B">
            <w:pPr>
              <w:spacing w:after="0" w:line="240" w:lineRule="auto"/>
              <w:rPr>
                <w:rFonts w:asciiTheme="majorHAnsi" w:hAnsiTheme="majorHAnsi" w:cstheme="majorHAnsi"/>
                <w:color w:val="000000" w:themeColor="text1"/>
                <w:sz w:val="17"/>
                <w:szCs w:val="17"/>
              </w:rPr>
            </w:pPr>
          </w:p>
          <w:p w14:paraId="6D05E6A1" w14:textId="77777777" w:rsidR="00BC541B" w:rsidRDefault="00BC541B">
            <w:pPr>
              <w:spacing w:after="0" w:line="240" w:lineRule="auto"/>
              <w:rPr>
                <w:rFonts w:asciiTheme="majorHAnsi" w:hAnsiTheme="majorHAnsi" w:cstheme="majorHAnsi"/>
                <w:color w:val="000000" w:themeColor="text1"/>
                <w:sz w:val="17"/>
                <w:szCs w:val="17"/>
              </w:rPr>
            </w:pPr>
          </w:p>
          <w:p w14:paraId="05ABD278" w14:textId="77777777" w:rsidR="00BC541B" w:rsidRDefault="00BC541B">
            <w:pPr>
              <w:spacing w:after="0" w:line="240" w:lineRule="auto"/>
              <w:rPr>
                <w:rFonts w:asciiTheme="majorHAnsi" w:hAnsiTheme="majorHAnsi" w:cstheme="majorHAnsi"/>
                <w:color w:val="000000" w:themeColor="text1"/>
                <w:sz w:val="17"/>
                <w:szCs w:val="17"/>
              </w:rPr>
            </w:pPr>
          </w:p>
          <w:p w14:paraId="7C77B7DC" w14:textId="77777777" w:rsidR="00BC541B" w:rsidRDefault="00BC541B">
            <w:pPr>
              <w:spacing w:after="0" w:line="240" w:lineRule="auto"/>
              <w:rPr>
                <w:rFonts w:asciiTheme="majorHAnsi" w:hAnsiTheme="majorHAnsi" w:cstheme="majorHAnsi"/>
                <w:color w:val="000000" w:themeColor="text1"/>
                <w:sz w:val="17"/>
                <w:szCs w:val="17"/>
              </w:rPr>
            </w:pPr>
          </w:p>
          <w:p w14:paraId="6F80E8E5" w14:textId="77777777" w:rsidR="00BC541B" w:rsidRDefault="00BC541B">
            <w:pPr>
              <w:spacing w:after="0" w:line="240" w:lineRule="auto"/>
              <w:rPr>
                <w:rFonts w:asciiTheme="majorHAnsi" w:hAnsiTheme="majorHAnsi" w:cstheme="majorHAnsi"/>
                <w:color w:val="000000" w:themeColor="text1"/>
                <w:sz w:val="17"/>
                <w:szCs w:val="17"/>
              </w:rPr>
            </w:pPr>
          </w:p>
          <w:p w14:paraId="4D4CD1FE" w14:textId="77777777" w:rsidR="00BC541B" w:rsidRDefault="00BC541B">
            <w:pPr>
              <w:spacing w:after="0" w:line="240" w:lineRule="auto"/>
              <w:rPr>
                <w:rFonts w:asciiTheme="majorHAnsi" w:hAnsiTheme="majorHAnsi" w:cstheme="majorHAnsi"/>
                <w:color w:val="000000" w:themeColor="text1"/>
                <w:sz w:val="17"/>
                <w:szCs w:val="17"/>
              </w:rPr>
            </w:pPr>
          </w:p>
          <w:p w14:paraId="61C3E6E3" w14:textId="77777777" w:rsidR="00BC541B" w:rsidRDefault="00BC541B">
            <w:pPr>
              <w:spacing w:after="0" w:line="240" w:lineRule="auto"/>
              <w:rPr>
                <w:rFonts w:asciiTheme="majorHAnsi" w:hAnsiTheme="majorHAnsi" w:cstheme="majorHAnsi"/>
                <w:color w:val="000000" w:themeColor="text1"/>
                <w:sz w:val="17"/>
                <w:szCs w:val="17"/>
              </w:rPr>
            </w:pPr>
          </w:p>
          <w:p w14:paraId="6FE70487" w14:textId="77777777" w:rsidR="00BC541B" w:rsidRDefault="00BC541B">
            <w:pPr>
              <w:spacing w:after="0" w:line="240" w:lineRule="auto"/>
              <w:rPr>
                <w:rFonts w:asciiTheme="majorHAnsi" w:hAnsiTheme="majorHAnsi" w:cstheme="majorHAnsi"/>
                <w:color w:val="000000" w:themeColor="text1"/>
                <w:sz w:val="17"/>
                <w:szCs w:val="17"/>
              </w:rPr>
            </w:pPr>
          </w:p>
          <w:p w14:paraId="4A410138" w14:textId="77777777" w:rsidR="00BC541B" w:rsidRDefault="00BC541B">
            <w:pPr>
              <w:spacing w:after="0" w:line="240" w:lineRule="auto"/>
              <w:rPr>
                <w:rFonts w:asciiTheme="majorHAnsi" w:hAnsiTheme="majorHAnsi" w:cstheme="majorHAnsi"/>
                <w:color w:val="000000" w:themeColor="text1"/>
                <w:sz w:val="17"/>
                <w:szCs w:val="17"/>
              </w:rPr>
            </w:pPr>
          </w:p>
          <w:p w14:paraId="2244D191" w14:textId="77777777" w:rsidR="00BC541B" w:rsidRDefault="00BC541B">
            <w:pPr>
              <w:spacing w:after="0" w:line="240" w:lineRule="auto"/>
              <w:rPr>
                <w:rFonts w:asciiTheme="majorHAnsi" w:hAnsiTheme="majorHAnsi" w:cstheme="majorHAnsi"/>
                <w:color w:val="000000" w:themeColor="text1"/>
                <w:sz w:val="17"/>
                <w:szCs w:val="17"/>
              </w:rPr>
            </w:pPr>
          </w:p>
          <w:p w14:paraId="3CF7E265" w14:textId="77777777" w:rsidR="00BC541B" w:rsidRDefault="00BC541B">
            <w:pPr>
              <w:spacing w:after="0" w:line="240" w:lineRule="auto"/>
              <w:rPr>
                <w:rFonts w:asciiTheme="majorHAnsi" w:hAnsiTheme="majorHAnsi" w:cstheme="majorHAnsi"/>
                <w:color w:val="000000" w:themeColor="text1"/>
                <w:sz w:val="17"/>
                <w:szCs w:val="17"/>
              </w:rPr>
            </w:pPr>
          </w:p>
          <w:p w14:paraId="18D260BB" w14:textId="77777777" w:rsidR="00BC541B" w:rsidRDefault="00BC541B">
            <w:pPr>
              <w:spacing w:after="0" w:line="240" w:lineRule="auto"/>
              <w:rPr>
                <w:rFonts w:asciiTheme="majorHAnsi" w:hAnsiTheme="majorHAnsi" w:cstheme="majorHAnsi"/>
                <w:color w:val="000000" w:themeColor="text1"/>
                <w:sz w:val="17"/>
                <w:szCs w:val="17"/>
              </w:rPr>
            </w:pPr>
          </w:p>
          <w:p w14:paraId="370ABAD8" w14:textId="1A1284FA"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Coordinar las funciones de las áreas que integran la Unidad Técnica Jurídica y de lo Contencioso o Electoral.</w:t>
            </w:r>
          </w:p>
        </w:tc>
        <w:tc>
          <w:tcPr>
            <w:tcW w:w="1586" w:type="dxa"/>
            <w:vAlign w:val="center"/>
          </w:tcPr>
          <w:p w14:paraId="31AED3C0"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Estructura</w:t>
            </w:r>
          </w:p>
        </w:tc>
      </w:tr>
      <w:tr w:rsidR="00BC541B" w14:paraId="0F2712D7" w14:textId="77777777">
        <w:trPr>
          <w:trHeight w:val="451"/>
        </w:trPr>
        <w:tc>
          <w:tcPr>
            <w:tcW w:w="1838" w:type="dxa"/>
            <w:shd w:val="clear" w:color="auto" w:fill="E7E6E6" w:themeFill="background2"/>
          </w:tcPr>
          <w:p w14:paraId="6F5160B0" w14:textId="77777777" w:rsidR="00BC541B" w:rsidRDefault="001277CA">
            <w:pPr>
              <w:spacing w:after="0" w:line="240" w:lineRule="auto"/>
              <w:rPr>
                <w:rFonts w:asciiTheme="majorHAnsi" w:hAnsiTheme="majorHAnsi" w:cstheme="majorHAnsi"/>
                <w:bCs/>
                <w:color w:val="000000" w:themeColor="text1"/>
                <w:sz w:val="17"/>
                <w:szCs w:val="17"/>
              </w:rPr>
            </w:pPr>
            <w:r>
              <w:rPr>
                <w:rFonts w:asciiTheme="majorHAnsi" w:hAnsiTheme="majorHAnsi" w:cstheme="majorHAnsi"/>
                <w:bCs/>
                <w:sz w:val="17"/>
                <w:szCs w:val="17"/>
              </w:rPr>
              <w:lastRenderedPageBreak/>
              <w:t>Mtro.</w:t>
            </w:r>
            <w:r>
              <w:rPr>
                <w:rFonts w:asciiTheme="majorHAnsi" w:hAnsiTheme="majorHAnsi" w:cstheme="majorHAnsi"/>
                <w:bCs/>
                <w:spacing w:val="40"/>
                <w:sz w:val="17"/>
                <w:szCs w:val="17"/>
              </w:rPr>
              <w:t xml:space="preserve"> </w:t>
            </w:r>
            <w:r>
              <w:rPr>
                <w:rFonts w:asciiTheme="majorHAnsi" w:hAnsiTheme="majorHAnsi" w:cstheme="majorHAnsi"/>
                <w:bCs/>
                <w:sz w:val="17"/>
                <w:szCs w:val="17"/>
              </w:rPr>
              <w:t>Erik</w:t>
            </w:r>
            <w:r>
              <w:rPr>
                <w:rFonts w:asciiTheme="majorHAnsi" w:hAnsiTheme="majorHAnsi" w:cstheme="majorHAnsi"/>
                <w:bCs/>
                <w:spacing w:val="40"/>
                <w:sz w:val="17"/>
                <w:szCs w:val="17"/>
              </w:rPr>
              <w:t xml:space="preserve"> </w:t>
            </w:r>
            <w:r>
              <w:rPr>
                <w:rFonts w:asciiTheme="majorHAnsi" w:hAnsiTheme="majorHAnsi" w:cstheme="majorHAnsi"/>
                <w:bCs/>
                <w:sz w:val="17"/>
                <w:szCs w:val="17"/>
              </w:rPr>
              <w:t>Samir Pérez Rojas</w:t>
            </w:r>
          </w:p>
        </w:tc>
        <w:tc>
          <w:tcPr>
            <w:tcW w:w="3059" w:type="dxa"/>
            <w:shd w:val="clear" w:color="auto" w:fill="E7E6E6" w:themeFill="background2"/>
          </w:tcPr>
          <w:p w14:paraId="1FF742B1" w14:textId="77777777" w:rsidR="00BC541B" w:rsidRDefault="001277CA">
            <w:pPr>
              <w:pStyle w:val="TableParagraph"/>
              <w:tabs>
                <w:tab w:val="left" w:pos="1060"/>
              </w:tabs>
              <w:ind w:left="107" w:right="93"/>
              <w:jc w:val="both"/>
              <w:rPr>
                <w:rFonts w:asciiTheme="majorHAnsi" w:hAnsiTheme="majorHAnsi" w:cstheme="majorHAnsi"/>
                <w:bCs/>
                <w:sz w:val="17"/>
                <w:szCs w:val="17"/>
              </w:rPr>
            </w:pPr>
            <w:r>
              <w:rPr>
                <w:rFonts w:asciiTheme="majorHAnsi" w:hAnsiTheme="majorHAnsi" w:cstheme="majorHAnsi"/>
                <w:bCs/>
                <w:spacing w:val="-2"/>
                <w:sz w:val="17"/>
                <w:szCs w:val="17"/>
              </w:rPr>
              <w:t>Coordinado</w:t>
            </w:r>
            <w:r>
              <w:rPr>
                <w:rFonts w:asciiTheme="majorHAnsi" w:hAnsiTheme="majorHAnsi" w:cstheme="majorHAnsi"/>
                <w:bCs/>
                <w:spacing w:val="-10"/>
                <w:sz w:val="17"/>
                <w:szCs w:val="17"/>
              </w:rPr>
              <w:t>r</w:t>
            </w:r>
            <w:r>
              <w:rPr>
                <w:rFonts w:asciiTheme="majorHAnsi" w:hAnsiTheme="majorHAnsi" w:cstheme="majorHAnsi"/>
                <w:bCs/>
                <w:sz w:val="17"/>
                <w:szCs w:val="17"/>
              </w:rPr>
              <w:tab/>
            </w:r>
            <w:r>
              <w:rPr>
                <w:rFonts w:asciiTheme="majorHAnsi" w:hAnsiTheme="majorHAnsi" w:cstheme="majorHAnsi"/>
                <w:bCs/>
                <w:spacing w:val="-5"/>
                <w:sz w:val="17"/>
                <w:szCs w:val="17"/>
              </w:rPr>
              <w:t xml:space="preserve">del área de procedimientos por infracciones en materia de </w:t>
            </w:r>
            <w:r>
              <w:rPr>
                <w:rFonts w:asciiTheme="majorHAnsi" w:hAnsiTheme="majorHAnsi" w:cstheme="majorHAnsi"/>
                <w:bCs/>
                <w:spacing w:val="-2"/>
                <w:sz w:val="17"/>
                <w:szCs w:val="17"/>
              </w:rPr>
              <w:t xml:space="preserve">vulneración a la normativa electoral, procedimientos ordinarios sancionadores y asuntos jurídicos en la Unidad Técnica. </w:t>
            </w:r>
          </w:p>
        </w:tc>
        <w:tc>
          <w:tcPr>
            <w:tcW w:w="3887" w:type="dxa"/>
            <w:shd w:val="clear" w:color="auto" w:fill="E7E6E6" w:themeFill="background2"/>
          </w:tcPr>
          <w:p w14:paraId="1788852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 Recibir la cuenta, asesorar para su instrucción, dictar a los proyectistas asignados a su área de competencia la directriz a seguir para el acuerdo, realizar la revisión del acuerdo, informe, contestación de requerimiento, u otro, de los asuntos tramitados conforme a su área de conocimiento.</w:t>
            </w:r>
          </w:p>
          <w:p w14:paraId="1E9CFB5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 Dar cuenta a la Titular del área o a la Secretaría Técnica de la Comisión de Quejas y Denuncias, así como a sus Consejerías integrantes sobre el estatus, naturaleza del asunto, seguimiento o prospectiva a seguir en los expedientes que se inicien. </w:t>
            </w:r>
          </w:p>
          <w:p w14:paraId="293C73F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III. Circular los acuerdos, informes, contestaciones u otra similar, relacionados con la tramitación de los </w:t>
            </w:r>
            <w:r>
              <w:rPr>
                <w:rFonts w:asciiTheme="majorHAnsi" w:hAnsiTheme="majorHAnsi" w:cstheme="majorHAnsi"/>
                <w:color w:val="000000" w:themeColor="text1"/>
                <w:sz w:val="17"/>
                <w:szCs w:val="17"/>
              </w:rPr>
              <w:lastRenderedPageBreak/>
              <w:t xml:space="preserve">expedientes de su área de conocimiento entre quienes integran la Comisión. </w:t>
            </w:r>
          </w:p>
          <w:p w14:paraId="15FCF6F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IV. Brindar asesoría a las y los ciudadanos que se presenten en el Instituto relacionados con asuntos de su competencia.</w:t>
            </w:r>
          </w:p>
          <w:p w14:paraId="46AC591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 En su caso, tomar la comparecencia ciudadana cuando se presenten a presentar denuncias o quejas por presuntas infracciones en la materia electoral, a ampliar los hechos de una denuncia previa, aportar las pruebas o ratificación de algún escrito. </w:t>
            </w:r>
          </w:p>
          <w:p w14:paraId="72A0474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 En su caso, realizar las gestiones necesarias para recabar las firmas de quienes integran la Comisión y su Secretaría Técnica en los asuntos de su conocimiento.</w:t>
            </w:r>
          </w:p>
          <w:p w14:paraId="5191C63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Colaborar en la realización del anteproyecto del Programa Operativo Anual de acuerdo a su área de conocimiento. </w:t>
            </w:r>
          </w:p>
          <w:p w14:paraId="4CD57095"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VIII. Realizar todo tipo de informe que sea solicitado respecto de los asuntos relacionados a su área de conocimiento.</w:t>
            </w:r>
          </w:p>
          <w:p w14:paraId="65D6B8F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IX. En los casos que se amerite, realizar las actas circunstanciadas necesarias, oficios de notificación, notificaciones, asentar sus razones, integrar y turnar los expedientes para continuar su instrucción. </w:t>
            </w:r>
          </w:p>
          <w:p w14:paraId="5C369C5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  En los casos que se amerite, </w:t>
            </w:r>
            <w:proofErr w:type="spellStart"/>
            <w:r>
              <w:rPr>
                <w:rFonts w:asciiTheme="majorHAnsi" w:hAnsiTheme="majorHAnsi" w:cstheme="majorHAnsi"/>
                <w:color w:val="000000" w:themeColor="text1"/>
                <w:sz w:val="17"/>
                <w:szCs w:val="17"/>
              </w:rPr>
              <w:t>recepcionar</w:t>
            </w:r>
            <w:proofErr w:type="spellEnd"/>
            <w:r>
              <w:rPr>
                <w:rFonts w:asciiTheme="majorHAnsi" w:hAnsiTheme="majorHAnsi" w:cstheme="majorHAnsi"/>
                <w:color w:val="000000" w:themeColor="text1"/>
                <w:sz w:val="17"/>
                <w:szCs w:val="17"/>
              </w:rPr>
              <w:t xml:space="preserve"> la documentación que llegue a la Unidad Técnica jurídica mediante el área de oficialía de partes o por correo electrónico, y en su caso realizar su distribución a quien corresponda.</w:t>
            </w:r>
          </w:p>
          <w:p w14:paraId="466D67E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 En los casos que se amerite, entregar a los proyectistas mediante libro los acuerdos o documentación firmada, para la correcta instrucción de los expedientes. </w:t>
            </w:r>
          </w:p>
          <w:p w14:paraId="26437059"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XII. Colaborar en el proceso para convocar a sesiones ordinarias y extraordinarias de la Comisión de Quejas o en su caso, llevar el desarrollo de la sesión.</w:t>
            </w:r>
          </w:p>
          <w:p w14:paraId="0E7596E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XIII. En los casos que se amerite, colaborar en el proceso de copiado, perforación, folio, rubrica, y entre sellado, o bien elaboración del documento, de aquella documentación que se remita a la Unidad con la finalidad de certificarla. </w:t>
            </w:r>
          </w:p>
          <w:p w14:paraId="106890A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XIV. Asesorar, revisar o en su caso elaborar los proyectos de resolución de los procedimientos </w:t>
            </w:r>
            <w:r>
              <w:rPr>
                <w:rFonts w:asciiTheme="majorHAnsi" w:hAnsiTheme="majorHAnsi" w:cstheme="majorHAnsi"/>
                <w:color w:val="000000" w:themeColor="text1"/>
                <w:sz w:val="17"/>
                <w:szCs w:val="17"/>
              </w:rPr>
              <w:lastRenderedPageBreak/>
              <w:t>ordinarios sancionadores, procedimientos de remoción o resolución de recursos de revisión que sean motivo del Consejo General del Instituto, así como circularlos, darle cuenta a este último y atender las observaciones y correcciones que presenten.</w:t>
            </w:r>
          </w:p>
          <w:p w14:paraId="6178A3A4"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  Dar atención a los asuntos de naturaleza jurídica que lleguen a la Unidad, y que los mismos no se relacionen con la instrucción de los procedimientos materia de conocimiento de la Comisión de Quejas y Denuncias u otra de la que forme parte. </w:t>
            </w:r>
          </w:p>
          <w:p w14:paraId="0C5871F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XVII. Dar atención a los asuntos turnados a la Unidad Técnica Jurídica con la finalidad de brindar servicios de asesoría jurídica o legales, atender, orientar o resolver consultas, de naturaleza jurídica a los órganos del IEEPCO, Partidos Políticos, Agrupaciones Políticas y Ciudadanía sobre la aplicación de la normativa en la materia, además de elaborar o revisar proyectos de convenios que en materia electoral celebre el IEEPCO. </w:t>
            </w:r>
          </w:p>
          <w:p w14:paraId="215D76A5" w14:textId="1CD774FF"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XVIII. Dar atención a los </w:t>
            </w:r>
            <w:r w:rsidR="00012E51">
              <w:rPr>
                <w:rFonts w:asciiTheme="majorHAnsi" w:hAnsiTheme="majorHAnsi" w:cstheme="majorHAnsi"/>
                <w:color w:val="000000" w:themeColor="text1"/>
                <w:sz w:val="17"/>
                <w:szCs w:val="17"/>
              </w:rPr>
              <w:t>asuntos turnados</w:t>
            </w:r>
            <w:r>
              <w:rPr>
                <w:rFonts w:asciiTheme="majorHAnsi" w:hAnsiTheme="majorHAnsi" w:cstheme="majorHAnsi"/>
                <w:color w:val="000000" w:themeColor="text1"/>
                <w:sz w:val="17"/>
                <w:szCs w:val="17"/>
              </w:rPr>
              <w:t xml:space="preserve"> a la Unidad Técnica Jurídica con la finalidad de preparar y/o revisar proyectos de acuerdos, lineamientos, reglamentos y demás disposiciones jurídicas que deban ser expedidos para el buen funcionamiento del IEEPCO, así como de dirigir, coordinar, supervisar y evaluar actividades y consultas que sobre la normatividad presenten a los órganos del Instituto.</w:t>
            </w:r>
          </w:p>
          <w:p w14:paraId="2EAE5DD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XIX. Coadyuvar con la titular y el personal correspondiente en la coordinación, recepción, control, trámite, emisión de los informes circunstanciados y remisión de la documentación de los medios de impugnación al órgano jurisdiccional.</w:t>
            </w:r>
          </w:p>
          <w:p w14:paraId="65743D0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 Cuando así sea encomendado, coordinarse con otras áreas del Instituto para la atención de los asuntos que previa instrucción de la Presidencia del Instituto, Secretaría Ejecutiva o Titular de la Unidad le sean encomendados. </w:t>
            </w:r>
          </w:p>
          <w:p w14:paraId="29702BF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XXI. Coordinar los trabajos de integración de archivo histórico.</w:t>
            </w:r>
          </w:p>
          <w:p w14:paraId="7C1E52D5" w14:textId="23B8DA9B" w:rsidR="005E3423"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XXII. </w:t>
            </w:r>
            <w:r w:rsidR="005E3423">
              <w:t xml:space="preserve"> </w:t>
            </w:r>
            <w:r w:rsidR="005E3423">
              <w:rPr>
                <w:rFonts w:asciiTheme="majorHAnsi" w:hAnsiTheme="majorHAnsi" w:cstheme="majorHAnsi"/>
                <w:color w:val="000000" w:themeColor="text1"/>
                <w:sz w:val="17"/>
                <w:szCs w:val="17"/>
              </w:rPr>
              <w:t xml:space="preserve">Recibir la cuenta, </w:t>
            </w:r>
            <w:r w:rsidR="000739BB">
              <w:rPr>
                <w:rFonts w:asciiTheme="majorHAnsi" w:hAnsiTheme="majorHAnsi" w:cstheme="majorHAnsi"/>
                <w:color w:val="000000" w:themeColor="text1"/>
                <w:sz w:val="17"/>
                <w:szCs w:val="17"/>
              </w:rPr>
              <w:t xml:space="preserve">asesorar para instrucción, dictar la directriz a seguir, circular los acuerdos, informes, contestaciones y demás tramitación para la atención de los </w:t>
            </w:r>
            <w:r w:rsidR="005E3423" w:rsidRPr="005E3423">
              <w:rPr>
                <w:rFonts w:asciiTheme="majorHAnsi" w:hAnsiTheme="majorHAnsi" w:cstheme="majorHAnsi"/>
                <w:color w:val="000000" w:themeColor="text1"/>
                <w:sz w:val="17"/>
                <w:szCs w:val="17"/>
              </w:rPr>
              <w:t xml:space="preserve">procedimientos iniciados con motivo </w:t>
            </w:r>
            <w:r w:rsidR="005E3423" w:rsidRPr="005E3423">
              <w:rPr>
                <w:rFonts w:asciiTheme="majorHAnsi" w:hAnsiTheme="majorHAnsi" w:cstheme="majorHAnsi"/>
                <w:color w:val="000000" w:themeColor="text1"/>
                <w:sz w:val="17"/>
                <w:szCs w:val="17"/>
              </w:rPr>
              <w:lastRenderedPageBreak/>
              <w:t>de incumplimiento de obligaciones en materia de transparencia</w:t>
            </w:r>
            <w:r w:rsidR="00E54E73">
              <w:rPr>
                <w:rFonts w:asciiTheme="majorHAnsi" w:hAnsiTheme="majorHAnsi" w:cstheme="majorHAnsi"/>
                <w:color w:val="000000" w:themeColor="text1"/>
                <w:sz w:val="17"/>
                <w:szCs w:val="17"/>
              </w:rPr>
              <w:t xml:space="preserve"> de los partidos políticos. </w:t>
            </w:r>
          </w:p>
          <w:p w14:paraId="65557E07" w14:textId="1BD0CE8D" w:rsidR="005E3423" w:rsidRDefault="005E3423">
            <w:pPr>
              <w:spacing w:after="0" w:line="240" w:lineRule="auto"/>
              <w:jc w:val="both"/>
              <w:rPr>
                <w:rFonts w:asciiTheme="majorHAnsi" w:hAnsiTheme="majorHAnsi" w:cstheme="majorHAnsi"/>
                <w:color w:val="000000" w:themeColor="text1"/>
                <w:sz w:val="17"/>
                <w:szCs w:val="17"/>
              </w:rPr>
            </w:pPr>
          </w:p>
          <w:p w14:paraId="67A7D9F4" w14:textId="770EAD40" w:rsidR="00BC541B" w:rsidRDefault="005E3423">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XXIII. </w:t>
            </w:r>
            <w:r w:rsidR="001277CA">
              <w:rPr>
                <w:rFonts w:asciiTheme="majorHAnsi" w:hAnsiTheme="majorHAnsi" w:cstheme="majorHAnsi"/>
                <w:color w:val="000000" w:themeColor="text1"/>
                <w:sz w:val="17"/>
                <w:szCs w:val="17"/>
              </w:rPr>
              <w:t xml:space="preserve">Delegar cualquiera de las funciones previas en personal a su cargo. </w:t>
            </w:r>
          </w:p>
          <w:p w14:paraId="6BC6326D" w14:textId="77777777" w:rsidR="00BC541B" w:rsidRDefault="00BC541B">
            <w:pPr>
              <w:spacing w:after="0" w:line="240" w:lineRule="auto"/>
              <w:rPr>
                <w:rFonts w:asciiTheme="majorHAnsi" w:hAnsiTheme="majorHAnsi" w:cstheme="majorHAnsi"/>
                <w:color w:val="000000" w:themeColor="text1"/>
                <w:sz w:val="17"/>
                <w:szCs w:val="17"/>
              </w:rPr>
            </w:pPr>
          </w:p>
        </w:tc>
        <w:tc>
          <w:tcPr>
            <w:tcW w:w="2410" w:type="dxa"/>
            <w:shd w:val="clear" w:color="auto" w:fill="E7E6E6" w:themeFill="background2"/>
          </w:tcPr>
          <w:p w14:paraId="2D896D4B" w14:textId="77777777" w:rsidR="00BC541B" w:rsidRDefault="001277CA">
            <w:pPr>
              <w:spacing w:after="0" w:line="240" w:lineRule="auto"/>
              <w:jc w:val="both"/>
              <w:rPr>
                <w:rFonts w:asciiTheme="majorHAnsi" w:hAnsiTheme="majorHAnsi" w:cstheme="majorHAnsi"/>
                <w:bCs/>
                <w:color w:val="000000" w:themeColor="text1"/>
                <w:sz w:val="17"/>
                <w:szCs w:val="17"/>
              </w:rPr>
            </w:pPr>
            <w:r>
              <w:rPr>
                <w:rFonts w:asciiTheme="majorHAnsi" w:hAnsiTheme="majorHAnsi" w:cstheme="majorHAnsi"/>
                <w:bCs/>
                <w:sz w:val="17"/>
                <w:szCs w:val="17"/>
              </w:rPr>
              <w:lastRenderedPageBreak/>
              <w:t>Coordinar</w:t>
            </w:r>
            <w:r>
              <w:rPr>
                <w:rFonts w:asciiTheme="majorHAnsi" w:hAnsiTheme="majorHAnsi" w:cstheme="majorHAnsi"/>
                <w:bCs/>
                <w:spacing w:val="75"/>
                <w:sz w:val="17"/>
                <w:szCs w:val="17"/>
              </w:rPr>
              <w:t xml:space="preserve"> </w:t>
            </w:r>
            <w:r>
              <w:rPr>
                <w:rFonts w:asciiTheme="majorHAnsi" w:hAnsiTheme="majorHAnsi" w:cstheme="majorHAnsi"/>
                <w:bCs/>
                <w:sz w:val="17"/>
                <w:szCs w:val="17"/>
              </w:rPr>
              <w:t xml:space="preserve">al personal asignado para la atención, operación y ejecución de las funciones del </w:t>
            </w:r>
            <w:r>
              <w:rPr>
                <w:rFonts w:asciiTheme="majorHAnsi" w:hAnsiTheme="majorHAnsi" w:cstheme="majorHAnsi"/>
                <w:bCs/>
                <w:spacing w:val="-5"/>
                <w:sz w:val="17"/>
                <w:szCs w:val="17"/>
              </w:rPr>
              <w:t xml:space="preserve">área de procedimientos por infracciones en materia de </w:t>
            </w:r>
            <w:r>
              <w:rPr>
                <w:rFonts w:asciiTheme="majorHAnsi" w:hAnsiTheme="majorHAnsi" w:cstheme="majorHAnsi"/>
                <w:bCs/>
                <w:spacing w:val="-2"/>
                <w:sz w:val="17"/>
                <w:szCs w:val="17"/>
              </w:rPr>
              <w:t>vulneración a la normativa electoral, procedimientos ordinarios sancionadores y asuntos jurídicos en la Unidad Técnica.</w:t>
            </w:r>
          </w:p>
        </w:tc>
        <w:tc>
          <w:tcPr>
            <w:tcW w:w="1586" w:type="dxa"/>
            <w:shd w:val="clear" w:color="auto" w:fill="E7E6E6" w:themeFill="background2"/>
            <w:vAlign w:val="center"/>
          </w:tcPr>
          <w:p w14:paraId="0C32AD17" w14:textId="77A65C7E"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Estructura</w:t>
            </w:r>
          </w:p>
        </w:tc>
      </w:tr>
      <w:tr w:rsidR="00BC541B" w14:paraId="54FC6449" w14:textId="77777777">
        <w:trPr>
          <w:trHeight w:val="451"/>
        </w:trPr>
        <w:tc>
          <w:tcPr>
            <w:tcW w:w="1838" w:type="dxa"/>
            <w:shd w:val="clear" w:color="auto" w:fill="auto"/>
            <w:vAlign w:val="center"/>
          </w:tcPr>
          <w:p w14:paraId="690A8085"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Lic. Luvia </w:t>
            </w:r>
            <w:proofErr w:type="spellStart"/>
            <w:r>
              <w:rPr>
                <w:rFonts w:asciiTheme="majorHAnsi" w:hAnsiTheme="majorHAnsi" w:cstheme="majorHAnsi"/>
                <w:color w:val="000000" w:themeColor="text1"/>
                <w:sz w:val="17"/>
                <w:szCs w:val="17"/>
              </w:rPr>
              <w:t>Janiret</w:t>
            </w:r>
            <w:proofErr w:type="spellEnd"/>
            <w:r>
              <w:rPr>
                <w:rFonts w:asciiTheme="majorHAnsi" w:hAnsiTheme="majorHAnsi" w:cstheme="majorHAnsi"/>
                <w:color w:val="000000" w:themeColor="text1"/>
                <w:sz w:val="17"/>
                <w:szCs w:val="17"/>
              </w:rPr>
              <w:t xml:space="preserve"> Morales Cervantes</w:t>
            </w:r>
          </w:p>
        </w:tc>
        <w:tc>
          <w:tcPr>
            <w:tcW w:w="3059" w:type="dxa"/>
            <w:shd w:val="clear" w:color="auto" w:fill="auto"/>
            <w:vAlign w:val="center"/>
          </w:tcPr>
          <w:p w14:paraId="52F153E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Coordinadora del área de Procedimientos Especiales Sancionadores y asuntos relacionados con la prohibición constitucional de actos de violencia política en contra de las mujeres por razón de género.</w:t>
            </w:r>
          </w:p>
        </w:tc>
        <w:tc>
          <w:tcPr>
            <w:tcW w:w="3887" w:type="dxa"/>
            <w:shd w:val="clear" w:color="auto" w:fill="auto"/>
            <w:vAlign w:val="center"/>
          </w:tcPr>
          <w:p w14:paraId="10CFA69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 Recibir la cuenta, asesorar para su instrucción, dictar a los proyectistas asignados a su área de competencia la directriz a seguir para el acuerdo, realizar la revisión del acuerdo, informe, contestación de requerimiento, u otro, de los asuntos tramitados conforme a su área de conocimiento.</w:t>
            </w:r>
          </w:p>
          <w:p w14:paraId="0935F075" w14:textId="3D7677E1"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 Dar cuenta a la titular del área o a la secretaría técnica de la comisión de quejas y denuncias, así como a sus consejerías integrantes sobre el estatus, naturaleza del asunto, seguimiento o prospectiva a seguir en los expedientes que se inicien. </w:t>
            </w:r>
          </w:p>
          <w:p w14:paraId="75565B9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III. Circular los acuerdos, informes, contestaciones u otra similar, relacionados con la tramitación de los expedientes de su área de conocimiento entre quienes integran la comisión. </w:t>
            </w:r>
          </w:p>
          <w:p w14:paraId="0D03CA2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IV. Brindar asesoría a las y los ciudadanos que se presenten en el instituto relacionados con asuntos de su competencia.</w:t>
            </w:r>
          </w:p>
          <w:p w14:paraId="65700DF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 En su caso, tomar la comparecencia ciudadana cuando se presenten a presentar denuncias o quejas por presuntas infracciones en la materia electoral, a ampliar los hechos de una denuncia previa, aportar las pruebas o ratificación de algún escrito. </w:t>
            </w:r>
          </w:p>
          <w:p w14:paraId="16D4B2F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 En su caso, realizar las gestiones necesarias para recabar las firmas de quienes integran la comisión y su secretaría técnica en los asuntos de su conocimiento.</w:t>
            </w:r>
          </w:p>
          <w:p w14:paraId="78E29FB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Colaborar en la realización del anteproyecto del programa operativo anual de acuerdo a su área de conocimiento. </w:t>
            </w:r>
          </w:p>
          <w:p w14:paraId="2915541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VIII. Realizar todo tipo de informe que sea solicitado respecto de los asuntos relacionados a su área de conocimiento.</w:t>
            </w:r>
          </w:p>
          <w:p w14:paraId="3246F94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IX. En los casos que se amerite, realizar las actas circunstanciadas necesarias, oficios de notificación, notificaciones, asentar sus razones, integrar y turnar los expedientes para continuar su Instrucción. </w:t>
            </w:r>
          </w:p>
          <w:p w14:paraId="67D6D2B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X.  En los casos que se amerite, </w:t>
            </w:r>
            <w:proofErr w:type="spellStart"/>
            <w:r>
              <w:rPr>
                <w:rFonts w:asciiTheme="majorHAnsi" w:hAnsiTheme="majorHAnsi" w:cstheme="majorHAnsi"/>
                <w:color w:val="000000" w:themeColor="text1"/>
                <w:sz w:val="17"/>
                <w:szCs w:val="17"/>
              </w:rPr>
              <w:t>recepcionar</w:t>
            </w:r>
            <w:proofErr w:type="spellEnd"/>
            <w:r>
              <w:rPr>
                <w:rFonts w:asciiTheme="majorHAnsi" w:hAnsiTheme="majorHAnsi" w:cstheme="majorHAnsi"/>
                <w:color w:val="000000" w:themeColor="text1"/>
                <w:sz w:val="17"/>
                <w:szCs w:val="17"/>
              </w:rPr>
              <w:t xml:space="preserve"> la documentación que llegue a la unidad técnica jurídica mediante el área de oficialía de partes o por correo electrónico, y en su caso realizar su distribución a quien corresponda.</w:t>
            </w:r>
          </w:p>
          <w:p w14:paraId="375F9FB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 En los casos que se amerite, entregar a los proyectistas mediante libro los acuerdos o documentación firmada, para la correcta instrucción de los expedientes. </w:t>
            </w:r>
          </w:p>
          <w:p w14:paraId="6A7ED70A"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XII. Colaborar en el proceso para convocar a sesiones ordinarias y extraordinarias de la comisión de quejas o en su caso, llevar el desarrollo de la sesión.</w:t>
            </w:r>
          </w:p>
          <w:p w14:paraId="1F0C973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XIII. En los casos que se amerite, colaborar en el proceso de copiado, perforación, folio, rubrica, y entre sellado, o bien elaboración del documento, de aquella documentación que se remita a la unidad con la finalidad de certificarla. </w:t>
            </w:r>
          </w:p>
          <w:p w14:paraId="5326A91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XIV. En coordinación con el Área correspondiente del Instituto, ser comisionada y acudir a municipios que requieran capacitación en materia de prohibición constitucional de actos de violencia política en contra de las mujeres por razón de género.</w:t>
            </w:r>
          </w:p>
          <w:p w14:paraId="0F2D43E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 Brindar asesoría y capacitación en materia de procedimientos especiales sancionadores por violencia política por razón de género, en los casos que así se requiera. </w:t>
            </w:r>
          </w:p>
        </w:tc>
        <w:tc>
          <w:tcPr>
            <w:tcW w:w="2410" w:type="dxa"/>
          </w:tcPr>
          <w:p w14:paraId="2BA2619B" w14:textId="77777777" w:rsidR="00BC541B" w:rsidRDefault="001277CA">
            <w:pPr>
              <w:spacing w:after="0" w:line="240" w:lineRule="auto"/>
              <w:jc w:val="both"/>
              <w:rPr>
                <w:rFonts w:asciiTheme="majorHAnsi" w:hAnsiTheme="majorHAnsi" w:cstheme="majorHAnsi"/>
                <w:bCs/>
                <w:spacing w:val="-5"/>
                <w:sz w:val="17"/>
                <w:szCs w:val="17"/>
              </w:rPr>
            </w:pPr>
            <w:r>
              <w:rPr>
                <w:rFonts w:asciiTheme="majorHAnsi" w:hAnsiTheme="majorHAnsi" w:cstheme="majorHAnsi"/>
                <w:bCs/>
                <w:sz w:val="17"/>
                <w:szCs w:val="17"/>
              </w:rPr>
              <w:lastRenderedPageBreak/>
              <w:t>Coordinar</w:t>
            </w:r>
            <w:r>
              <w:rPr>
                <w:rFonts w:asciiTheme="majorHAnsi" w:hAnsiTheme="majorHAnsi" w:cstheme="majorHAnsi"/>
                <w:bCs/>
                <w:spacing w:val="75"/>
                <w:sz w:val="17"/>
                <w:szCs w:val="17"/>
              </w:rPr>
              <w:t xml:space="preserve"> </w:t>
            </w:r>
            <w:r>
              <w:rPr>
                <w:rFonts w:asciiTheme="majorHAnsi" w:hAnsiTheme="majorHAnsi" w:cstheme="majorHAnsi"/>
                <w:bCs/>
                <w:sz w:val="17"/>
                <w:szCs w:val="17"/>
              </w:rPr>
              <w:t xml:space="preserve">al personal asignado para la atención, operación y ejecución de las funciones del </w:t>
            </w:r>
            <w:r>
              <w:rPr>
                <w:rFonts w:asciiTheme="majorHAnsi" w:hAnsiTheme="majorHAnsi" w:cstheme="majorHAnsi"/>
                <w:bCs/>
                <w:spacing w:val="-5"/>
                <w:sz w:val="17"/>
                <w:szCs w:val="17"/>
              </w:rPr>
              <w:t>área de</w:t>
            </w:r>
            <w:r>
              <w:rPr>
                <w:rFonts w:asciiTheme="majorHAnsi" w:hAnsiTheme="majorHAnsi" w:cstheme="majorHAnsi"/>
                <w:bCs/>
                <w:sz w:val="17"/>
                <w:szCs w:val="17"/>
              </w:rPr>
              <w:t xml:space="preserve"> </w:t>
            </w:r>
            <w:r>
              <w:rPr>
                <w:rFonts w:asciiTheme="majorHAnsi" w:hAnsiTheme="majorHAnsi" w:cstheme="majorHAnsi"/>
                <w:bCs/>
                <w:spacing w:val="-5"/>
                <w:sz w:val="17"/>
                <w:szCs w:val="17"/>
              </w:rPr>
              <w:t>procedimientos especiales sancionadores y asuntos relacionados con la prohibición constitucional de actos de violencia política en contra de las mujeres por razón de género.</w:t>
            </w:r>
          </w:p>
          <w:p w14:paraId="5692AD1D" w14:textId="77777777" w:rsidR="00BC541B" w:rsidRDefault="00BC541B">
            <w:pPr>
              <w:spacing w:after="0" w:line="240" w:lineRule="auto"/>
              <w:rPr>
                <w:rFonts w:asciiTheme="majorHAnsi" w:hAnsiTheme="majorHAnsi" w:cstheme="majorHAnsi"/>
                <w:color w:val="000000" w:themeColor="text1"/>
                <w:sz w:val="17"/>
                <w:szCs w:val="17"/>
              </w:rPr>
            </w:pPr>
          </w:p>
        </w:tc>
        <w:tc>
          <w:tcPr>
            <w:tcW w:w="1586" w:type="dxa"/>
            <w:shd w:val="clear" w:color="auto" w:fill="auto"/>
            <w:vAlign w:val="center"/>
          </w:tcPr>
          <w:p w14:paraId="54081437" w14:textId="6AAA0253"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Estructur</w:t>
            </w:r>
            <w:r w:rsidR="00BD76FC">
              <w:rPr>
                <w:rFonts w:asciiTheme="majorHAnsi" w:hAnsiTheme="majorHAnsi" w:cstheme="majorHAnsi"/>
                <w:color w:val="000000" w:themeColor="text1"/>
                <w:sz w:val="17"/>
                <w:szCs w:val="17"/>
              </w:rPr>
              <w:t>a</w:t>
            </w:r>
            <w:r>
              <w:rPr>
                <w:rFonts w:asciiTheme="majorHAnsi" w:hAnsiTheme="majorHAnsi" w:cstheme="majorHAnsi"/>
                <w:color w:val="000000" w:themeColor="text1"/>
                <w:sz w:val="17"/>
                <w:szCs w:val="17"/>
              </w:rPr>
              <w:t xml:space="preserve"> </w:t>
            </w:r>
          </w:p>
        </w:tc>
      </w:tr>
      <w:tr w:rsidR="00BC541B" w14:paraId="69EE119C" w14:textId="77777777">
        <w:trPr>
          <w:trHeight w:val="451"/>
        </w:trPr>
        <w:tc>
          <w:tcPr>
            <w:tcW w:w="1838" w:type="dxa"/>
            <w:shd w:val="clear" w:color="auto" w:fill="E7E6E6" w:themeFill="background2"/>
            <w:vAlign w:val="center"/>
          </w:tcPr>
          <w:p w14:paraId="30F36D61"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Lic. Miguel Ángel García Cruz.</w:t>
            </w:r>
          </w:p>
          <w:p w14:paraId="05B7FF3A"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Lic.</w:t>
            </w:r>
            <w:r>
              <w:rPr>
                <w:rFonts w:asciiTheme="majorHAnsi" w:hAnsiTheme="majorHAnsi" w:cstheme="majorHAnsi"/>
                <w:color w:val="000000" w:themeColor="text1"/>
                <w:sz w:val="17"/>
                <w:szCs w:val="17"/>
              </w:rPr>
              <w:tab/>
              <w:t>Nereida</w:t>
            </w:r>
          </w:p>
          <w:p w14:paraId="7EC71781"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proofErr w:type="spellStart"/>
            <w:r>
              <w:rPr>
                <w:rFonts w:asciiTheme="majorHAnsi" w:hAnsiTheme="majorHAnsi" w:cstheme="majorHAnsi"/>
                <w:color w:val="000000" w:themeColor="text1"/>
                <w:sz w:val="17"/>
                <w:szCs w:val="17"/>
              </w:rPr>
              <w:t>Vaneza</w:t>
            </w:r>
            <w:proofErr w:type="spellEnd"/>
            <w:r>
              <w:rPr>
                <w:rFonts w:asciiTheme="majorHAnsi" w:hAnsiTheme="majorHAnsi" w:cstheme="majorHAnsi"/>
                <w:color w:val="000000" w:themeColor="text1"/>
                <w:sz w:val="17"/>
                <w:szCs w:val="17"/>
              </w:rPr>
              <w:t xml:space="preserve"> Salinas Velazco</w:t>
            </w:r>
          </w:p>
          <w:p w14:paraId="36DD9BFC"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Lic.</w:t>
            </w:r>
            <w:r>
              <w:rPr>
                <w:rFonts w:asciiTheme="majorHAnsi" w:hAnsiTheme="majorHAnsi" w:cstheme="majorHAnsi"/>
                <w:color w:val="000000" w:themeColor="text1"/>
                <w:sz w:val="17"/>
                <w:szCs w:val="17"/>
              </w:rPr>
              <w:tab/>
            </w:r>
            <w:proofErr w:type="spellStart"/>
            <w:r>
              <w:rPr>
                <w:rFonts w:asciiTheme="majorHAnsi" w:hAnsiTheme="majorHAnsi" w:cstheme="majorHAnsi"/>
                <w:color w:val="000000" w:themeColor="text1"/>
                <w:sz w:val="17"/>
                <w:szCs w:val="17"/>
              </w:rPr>
              <w:t>Irinetzy</w:t>
            </w:r>
            <w:proofErr w:type="spellEnd"/>
            <w:r>
              <w:rPr>
                <w:rFonts w:asciiTheme="majorHAnsi" w:hAnsiTheme="majorHAnsi" w:cstheme="majorHAnsi"/>
                <w:color w:val="000000" w:themeColor="text1"/>
                <w:sz w:val="17"/>
                <w:szCs w:val="17"/>
              </w:rPr>
              <w:t xml:space="preserve"> Miriam Morales Castañeda.</w:t>
            </w:r>
          </w:p>
          <w:p w14:paraId="6EB5F094"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Lic. </w:t>
            </w:r>
            <w:proofErr w:type="spellStart"/>
            <w:r>
              <w:rPr>
                <w:rFonts w:asciiTheme="majorHAnsi" w:hAnsiTheme="majorHAnsi" w:cstheme="majorHAnsi"/>
                <w:color w:val="000000" w:themeColor="text1"/>
                <w:sz w:val="17"/>
                <w:szCs w:val="17"/>
              </w:rPr>
              <w:t>Deifilia</w:t>
            </w:r>
            <w:proofErr w:type="spellEnd"/>
            <w:r>
              <w:rPr>
                <w:rFonts w:asciiTheme="majorHAnsi" w:hAnsiTheme="majorHAnsi" w:cstheme="majorHAnsi"/>
                <w:color w:val="000000" w:themeColor="text1"/>
                <w:sz w:val="17"/>
                <w:szCs w:val="17"/>
              </w:rPr>
              <w:t xml:space="preserve"> Joyce García Betanzos</w:t>
            </w:r>
          </w:p>
          <w:p w14:paraId="6614FA26" w14:textId="77777777" w:rsidR="00BC541B" w:rsidRDefault="001277CA">
            <w:pPr>
              <w:pStyle w:val="Prrafodelista"/>
              <w:numPr>
                <w:ilvl w:val="0"/>
                <w:numId w:val="7"/>
              </w:numPr>
              <w:spacing w:after="0" w:line="240" w:lineRule="auto"/>
              <w:ind w:left="164" w:hanging="164"/>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Personal adicional según el organigrama aplicable para ambas coordinaciones.</w:t>
            </w:r>
          </w:p>
          <w:p w14:paraId="71A02A58"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ab/>
            </w:r>
          </w:p>
        </w:tc>
        <w:tc>
          <w:tcPr>
            <w:tcW w:w="3059" w:type="dxa"/>
            <w:shd w:val="clear" w:color="auto" w:fill="E7E6E6" w:themeFill="background2"/>
            <w:vAlign w:val="center"/>
          </w:tcPr>
          <w:p w14:paraId="28856C67"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Proyectistas Instructores asignados a las coordinaciones.</w:t>
            </w:r>
          </w:p>
        </w:tc>
        <w:tc>
          <w:tcPr>
            <w:tcW w:w="3887" w:type="dxa"/>
            <w:shd w:val="clear" w:color="auto" w:fill="E7E6E6" w:themeFill="background2"/>
            <w:vAlign w:val="center"/>
          </w:tcPr>
          <w:p w14:paraId="1187AC6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 Realizar el estudio, análisis, investigación necesaria y prospección de los asuntos que tenga turnados a su cargo. </w:t>
            </w:r>
          </w:p>
          <w:p w14:paraId="5770AE9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II. Ser proactivo, con iniciativa, estar al pendiente, ser diligente y atento respecto de la documentación que sea recibida en la Unidad para la debida atención e instrucción de los asuntos que tenga turnados a su cargo, así como en los casos que corresponda, estar al pendiente de las resoluciones o sentencia que recaigan sobre estos.</w:t>
            </w:r>
          </w:p>
          <w:p w14:paraId="5CF2130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III. Dar cuenta y proponer el sentido de los proyectos a la persona coordinadora del área en que se encuentre adscrita sobre los acuerdos, informes, contestaciones de requerimientos o cualquier otro que se relacione con los expedientes o asunto que le haya sido asignados.</w:t>
            </w:r>
          </w:p>
          <w:p w14:paraId="54B015D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IV. Elaborar con esmero argumentativo, ortográfico, debida fundamentación, uso de referencias bibliográficas o legales que se requieran, los distintos tipos de acuerdos, resoluciones, informes circunstanciados u oficios, que sean necesarios para la atención e instrucción de los asuntos que les hayan sido asignados, y una vez observado lo anterior, presentarlo para revisión a la persona coordinadora de su área de adscripción. </w:t>
            </w:r>
          </w:p>
          <w:p w14:paraId="593C95A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 Dar cuenta a la persona coordinadora, titular de la unidad, secretaría técnica, secretaría ejecutiva o consejerías, sobre el estatus, naturaleza del asunto, seguimiento o prospectiva a seguir en los asuntos que les hayan sido asignados.</w:t>
            </w:r>
          </w:p>
          <w:p w14:paraId="0DBB357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  Tomar la comparecencia de la ciudadanía cuando acudan al área de la Unidad a presentar denuncias o quejas por presuntas infracciones en la materia electoral, a ampliar los hechos de una denuncia previa, aportar las pruebas o ratificación de algún escrito.</w:t>
            </w:r>
          </w:p>
          <w:p w14:paraId="6138221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Cuando le sea requerido por la persona coordinadora del área de adscripción en la que se encuentre, realizar las actas circunstanciadas que se hubieran ordenado para la debida instrucción de su expediente o asunto que le hubiera sido encomendado. </w:t>
            </w:r>
          </w:p>
          <w:p w14:paraId="5E8775B3" w14:textId="645F7774"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VIII. Realizar los oficios de notificación a autoridades o </w:t>
            </w:r>
            <w:r w:rsidR="00BD76FC">
              <w:rPr>
                <w:rFonts w:asciiTheme="majorHAnsi" w:hAnsiTheme="majorHAnsi" w:cstheme="majorHAnsi"/>
                <w:color w:val="000000" w:themeColor="text1"/>
                <w:sz w:val="17"/>
                <w:szCs w:val="17"/>
              </w:rPr>
              <w:t>cédulas</w:t>
            </w:r>
            <w:r>
              <w:rPr>
                <w:rFonts w:asciiTheme="majorHAnsi" w:hAnsiTheme="majorHAnsi" w:cstheme="majorHAnsi"/>
                <w:color w:val="000000" w:themeColor="text1"/>
                <w:sz w:val="17"/>
                <w:szCs w:val="17"/>
              </w:rPr>
              <w:t xml:space="preserve"> de notificación a personas, y cuando se requiera las notificaciones, asentar sus razones, e integrar los expedientes que tengan a su cargo.</w:t>
            </w:r>
          </w:p>
          <w:p w14:paraId="6ACDFC9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IX. Elaborar los informes estadísticos, tarjetas informativas o similares, que algún superior les haya indicado realizar sobre cualquier asunto que tengan encomendados. </w:t>
            </w:r>
          </w:p>
          <w:p w14:paraId="76EEF825"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  Ante la falta de personal, auxiliar en la recepción de la documentación que llegue a la unidad técnica jurídica mediante el área de oficialía de partes o por correo electrónico, y en su caso realizar su distribución a quien corresponda.</w:t>
            </w:r>
          </w:p>
          <w:p w14:paraId="061D7B3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 En los casos que se amerite, entregar a los proyectistas mediante libro los acuerdos o documentación firmada, para la correcta instrucción de los expedientes.</w:t>
            </w:r>
          </w:p>
          <w:p w14:paraId="5BB7F34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XII.  Colaborar en el proceso de copiado, perforación, folio, rubrica, y entre sellado, o bien elaboración del documento, de aquella documentación que se remita a la unidad con la finalidad de certificarla.</w:t>
            </w:r>
          </w:p>
          <w:p w14:paraId="2B3A1FA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XIII. Integrar los propios y supervisar la debida integración de los expedientes que tenga a su cargo, mediante el adecuado acomodo u orden de las promociones, foliado, rubricado, entre sellado, copia de medios magnéticos y </w:t>
            </w:r>
            <w:proofErr w:type="spellStart"/>
            <w:r>
              <w:rPr>
                <w:rFonts w:asciiTheme="majorHAnsi" w:hAnsiTheme="majorHAnsi" w:cstheme="majorHAnsi"/>
                <w:color w:val="000000" w:themeColor="text1"/>
                <w:sz w:val="17"/>
                <w:szCs w:val="17"/>
              </w:rPr>
              <w:t>costuración</w:t>
            </w:r>
            <w:proofErr w:type="spellEnd"/>
            <w:r>
              <w:rPr>
                <w:rFonts w:asciiTheme="majorHAnsi" w:hAnsiTheme="majorHAnsi" w:cstheme="majorHAnsi"/>
                <w:color w:val="000000" w:themeColor="text1"/>
                <w:sz w:val="17"/>
                <w:szCs w:val="17"/>
              </w:rPr>
              <w:t xml:space="preserve">.  </w:t>
            </w:r>
          </w:p>
          <w:p w14:paraId="0CA3A2B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XIV. Realizar el foto copiado o realizar la digitalización de los expedientes que así lo ameriten de acuerdo a la naturaleza del procedimiento que lo requiera.  </w:t>
            </w:r>
          </w:p>
          <w:p w14:paraId="13D2EA2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 Cuando se requiera apoyar a otras áreas del instituto, realizar los informes circunstanciados relacionados con los procesos electorales en el Estado, u otros de naturaleza diversa. </w:t>
            </w:r>
          </w:p>
          <w:p w14:paraId="76CD09FB" w14:textId="77777777" w:rsidR="00BC541B" w:rsidRDefault="00BC541B">
            <w:pPr>
              <w:spacing w:after="0" w:line="240" w:lineRule="auto"/>
              <w:jc w:val="both"/>
              <w:rPr>
                <w:rFonts w:asciiTheme="majorHAnsi" w:hAnsiTheme="majorHAnsi" w:cstheme="majorHAnsi"/>
                <w:color w:val="000000" w:themeColor="text1"/>
                <w:sz w:val="17"/>
                <w:szCs w:val="17"/>
              </w:rPr>
            </w:pPr>
          </w:p>
          <w:p w14:paraId="09247281" w14:textId="45C367C3" w:rsidR="005E3423"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 </w:t>
            </w:r>
            <w:r w:rsidR="005E3423">
              <w:t xml:space="preserve"> </w:t>
            </w:r>
            <w:r w:rsidR="005E3423" w:rsidRPr="005E3423">
              <w:rPr>
                <w:rFonts w:asciiTheme="majorHAnsi" w:hAnsiTheme="majorHAnsi" w:cstheme="majorHAnsi"/>
                <w:color w:val="000000" w:themeColor="text1"/>
                <w:sz w:val="17"/>
                <w:szCs w:val="17"/>
              </w:rPr>
              <w:t>Realizar el estudio, análisis</w:t>
            </w:r>
            <w:r w:rsidR="005E3423">
              <w:rPr>
                <w:rFonts w:asciiTheme="majorHAnsi" w:hAnsiTheme="majorHAnsi" w:cstheme="majorHAnsi"/>
                <w:color w:val="000000" w:themeColor="text1"/>
                <w:sz w:val="17"/>
                <w:szCs w:val="17"/>
              </w:rPr>
              <w:t xml:space="preserve">, integración y debida instrucción de los procedimientos iniciados con motivo de incumplimiento de obligaciones en materia de transparencia. </w:t>
            </w:r>
          </w:p>
          <w:p w14:paraId="219C7DC4" w14:textId="64215C81" w:rsidR="00BC541B" w:rsidRDefault="005E3423" w:rsidP="00E16CD5">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XVII. </w:t>
            </w:r>
            <w:r w:rsidR="001277CA">
              <w:rPr>
                <w:rFonts w:asciiTheme="majorHAnsi" w:hAnsiTheme="majorHAnsi" w:cstheme="majorHAnsi"/>
                <w:color w:val="000000" w:themeColor="text1"/>
                <w:sz w:val="17"/>
                <w:szCs w:val="17"/>
              </w:rPr>
              <w:t xml:space="preserve">Realizar las funciones que la persona coordinadora de su área de adscripción le hubiere delegado. </w:t>
            </w:r>
          </w:p>
        </w:tc>
        <w:tc>
          <w:tcPr>
            <w:tcW w:w="2410" w:type="dxa"/>
            <w:shd w:val="clear" w:color="auto" w:fill="E7E6E6" w:themeFill="background2"/>
            <w:vAlign w:val="center"/>
          </w:tcPr>
          <w:p w14:paraId="0876601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 Sustanciar los expedientes o asuntos que se hubieran hecho de su conocimiento. </w:t>
            </w:r>
          </w:p>
          <w:p w14:paraId="0B919396"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 </w:t>
            </w:r>
          </w:p>
        </w:tc>
        <w:tc>
          <w:tcPr>
            <w:tcW w:w="1586" w:type="dxa"/>
            <w:shd w:val="clear" w:color="auto" w:fill="E7E6E6" w:themeFill="background2"/>
            <w:vAlign w:val="center"/>
          </w:tcPr>
          <w:p w14:paraId="6AD78AA0" w14:textId="71643E08"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Eventuales</w:t>
            </w:r>
          </w:p>
        </w:tc>
      </w:tr>
      <w:tr w:rsidR="00BC541B" w14:paraId="5703C0A8" w14:textId="77777777">
        <w:trPr>
          <w:trHeight w:val="451"/>
        </w:trPr>
        <w:tc>
          <w:tcPr>
            <w:tcW w:w="1838" w:type="dxa"/>
            <w:shd w:val="clear" w:color="auto" w:fill="auto"/>
            <w:vAlign w:val="center"/>
          </w:tcPr>
          <w:p w14:paraId="0071B56C" w14:textId="77777777" w:rsidR="00BC541B" w:rsidRDefault="001277CA">
            <w:pPr>
              <w:pStyle w:val="Prrafodelista"/>
              <w:numPr>
                <w:ilvl w:val="0"/>
                <w:numId w:val="8"/>
              </w:numPr>
              <w:spacing w:after="0" w:line="240" w:lineRule="auto"/>
              <w:ind w:left="164" w:hanging="142"/>
              <w:jc w:val="both"/>
              <w:rPr>
                <w:rFonts w:asciiTheme="majorHAnsi" w:hAnsiTheme="majorHAnsi" w:cstheme="majorHAnsi"/>
                <w:sz w:val="17"/>
                <w:szCs w:val="17"/>
              </w:rPr>
            </w:pPr>
            <w:r>
              <w:rPr>
                <w:rFonts w:asciiTheme="majorHAnsi" w:hAnsiTheme="majorHAnsi" w:cstheme="majorHAnsi"/>
                <w:sz w:val="17"/>
                <w:szCs w:val="17"/>
              </w:rPr>
              <w:lastRenderedPageBreak/>
              <w:t>Lic. Elia Rubí Vásquez Hernández.</w:t>
            </w:r>
          </w:p>
          <w:p w14:paraId="2059935B" w14:textId="3EB1880A" w:rsidR="00BC541B" w:rsidRDefault="00BC541B" w:rsidP="00D13297">
            <w:pPr>
              <w:pStyle w:val="Prrafodelista"/>
              <w:spacing w:after="0" w:line="240" w:lineRule="auto"/>
              <w:ind w:left="164"/>
              <w:jc w:val="both"/>
              <w:rPr>
                <w:rFonts w:asciiTheme="majorHAnsi" w:hAnsiTheme="majorHAnsi" w:cstheme="majorHAnsi"/>
                <w:sz w:val="17"/>
                <w:szCs w:val="17"/>
              </w:rPr>
            </w:pPr>
          </w:p>
          <w:p w14:paraId="6D2686AE" w14:textId="77777777" w:rsidR="00BC541B" w:rsidRDefault="00BC541B">
            <w:pPr>
              <w:spacing w:after="0" w:line="240" w:lineRule="auto"/>
              <w:jc w:val="both"/>
              <w:rPr>
                <w:rFonts w:asciiTheme="majorHAnsi" w:hAnsiTheme="majorHAnsi" w:cstheme="majorHAnsi"/>
                <w:sz w:val="17"/>
                <w:szCs w:val="17"/>
              </w:rPr>
            </w:pPr>
          </w:p>
        </w:tc>
        <w:tc>
          <w:tcPr>
            <w:tcW w:w="3059" w:type="dxa"/>
            <w:shd w:val="clear" w:color="auto" w:fill="auto"/>
            <w:vAlign w:val="center"/>
          </w:tcPr>
          <w:p w14:paraId="5A6854D9" w14:textId="77777777" w:rsidR="00BC541B" w:rsidRDefault="001277CA">
            <w:pPr>
              <w:spacing w:after="0" w:line="240" w:lineRule="auto"/>
              <w:jc w:val="center"/>
              <w:rPr>
                <w:rFonts w:asciiTheme="majorHAnsi" w:hAnsiTheme="majorHAnsi" w:cstheme="majorHAnsi"/>
                <w:sz w:val="17"/>
                <w:szCs w:val="17"/>
              </w:rPr>
            </w:pPr>
            <w:r>
              <w:rPr>
                <w:rFonts w:asciiTheme="majorHAnsi" w:hAnsiTheme="majorHAnsi" w:cstheme="majorHAnsi"/>
                <w:sz w:val="17"/>
                <w:szCs w:val="17"/>
              </w:rPr>
              <w:t xml:space="preserve">Coordinadora del área de Oficialía Electoral. </w:t>
            </w:r>
          </w:p>
          <w:p w14:paraId="7A09A875" w14:textId="77777777" w:rsidR="00BC541B" w:rsidRDefault="00BC541B">
            <w:pPr>
              <w:spacing w:after="0" w:line="240" w:lineRule="auto"/>
              <w:jc w:val="center"/>
              <w:rPr>
                <w:rFonts w:asciiTheme="majorHAnsi" w:hAnsiTheme="majorHAnsi" w:cstheme="majorHAnsi"/>
                <w:sz w:val="17"/>
                <w:szCs w:val="17"/>
              </w:rPr>
            </w:pPr>
          </w:p>
        </w:tc>
        <w:tc>
          <w:tcPr>
            <w:tcW w:w="3887" w:type="dxa"/>
            <w:shd w:val="clear" w:color="auto" w:fill="auto"/>
            <w:vAlign w:val="center"/>
          </w:tcPr>
          <w:p w14:paraId="2DFA008C" w14:textId="77777777" w:rsidR="00BC541B" w:rsidRDefault="001277CA">
            <w:pPr>
              <w:spacing w:after="0" w:line="240" w:lineRule="auto"/>
              <w:jc w:val="both"/>
              <w:rPr>
                <w:rFonts w:asciiTheme="majorHAnsi" w:hAnsiTheme="majorHAnsi" w:cstheme="majorHAnsi"/>
                <w:sz w:val="17"/>
                <w:szCs w:val="17"/>
              </w:rPr>
            </w:pPr>
            <w:r>
              <w:rPr>
                <w:rFonts w:asciiTheme="majorHAnsi" w:hAnsiTheme="majorHAnsi" w:cstheme="majorHAnsi"/>
                <w:sz w:val="17"/>
                <w:szCs w:val="17"/>
              </w:rPr>
              <w:t xml:space="preserve">I. Ser la persona responsable de la elaboración, revisión y propuesta de actas relacionadas con el ejercicio de la función de la fe pública para actos de naturaleza electoral.  </w:t>
            </w:r>
          </w:p>
          <w:p w14:paraId="5F909C65" w14:textId="5120CA1B" w:rsidR="00BC541B" w:rsidRDefault="001277CA">
            <w:pPr>
              <w:spacing w:after="0" w:line="240" w:lineRule="auto"/>
              <w:jc w:val="both"/>
              <w:rPr>
                <w:rFonts w:asciiTheme="majorHAnsi" w:hAnsiTheme="majorHAnsi" w:cstheme="majorHAnsi"/>
                <w:sz w:val="17"/>
                <w:szCs w:val="17"/>
              </w:rPr>
            </w:pPr>
            <w:r>
              <w:rPr>
                <w:rFonts w:asciiTheme="majorHAnsi" w:hAnsiTheme="majorHAnsi" w:cstheme="majorHAnsi"/>
                <w:sz w:val="17"/>
                <w:szCs w:val="17"/>
              </w:rPr>
              <w:t xml:space="preserve">II. Realizar los trámites administrativos necesarios que permitan ejercer su función de </w:t>
            </w:r>
            <w:r w:rsidR="00D13297">
              <w:rPr>
                <w:rFonts w:asciiTheme="majorHAnsi" w:hAnsiTheme="majorHAnsi" w:cstheme="majorHAnsi"/>
                <w:sz w:val="17"/>
                <w:szCs w:val="17"/>
              </w:rPr>
              <w:t>elaboración, revisión</w:t>
            </w:r>
            <w:r>
              <w:rPr>
                <w:rFonts w:asciiTheme="majorHAnsi" w:hAnsiTheme="majorHAnsi" w:cstheme="majorHAnsi"/>
                <w:sz w:val="17"/>
                <w:szCs w:val="17"/>
              </w:rPr>
              <w:t xml:space="preserve"> y propuesta de actas relacionadas con el ejercicio de la función de la fe pública para actos de naturaleza electoral.  </w:t>
            </w:r>
          </w:p>
        </w:tc>
        <w:tc>
          <w:tcPr>
            <w:tcW w:w="2410" w:type="dxa"/>
          </w:tcPr>
          <w:p w14:paraId="49CCAD53" w14:textId="77777777" w:rsidR="00BC541B" w:rsidRDefault="001277CA">
            <w:pPr>
              <w:spacing w:after="0" w:line="240" w:lineRule="auto"/>
              <w:rPr>
                <w:rFonts w:asciiTheme="majorHAnsi" w:hAnsiTheme="majorHAnsi" w:cstheme="majorHAnsi"/>
                <w:sz w:val="17"/>
                <w:szCs w:val="17"/>
              </w:rPr>
            </w:pPr>
            <w:r>
              <w:rPr>
                <w:rFonts w:asciiTheme="majorHAnsi" w:hAnsiTheme="majorHAnsi" w:cstheme="majorHAnsi"/>
                <w:sz w:val="17"/>
                <w:szCs w:val="17"/>
              </w:rPr>
              <w:t xml:space="preserve">Coordinar la oficialía electoral.  </w:t>
            </w:r>
          </w:p>
        </w:tc>
        <w:tc>
          <w:tcPr>
            <w:tcW w:w="1586" w:type="dxa"/>
            <w:shd w:val="clear" w:color="auto" w:fill="auto"/>
            <w:vAlign w:val="center"/>
          </w:tcPr>
          <w:p w14:paraId="4C2232CD" w14:textId="511EB4B0" w:rsidR="00BC541B" w:rsidRDefault="001277CA">
            <w:pPr>
              <w:spacing w:after="0" w:line="240" w:lineRule="auto"/>
              <w:rPr>
                <w:rFonts w:asciiTheme="majorHAnsi" w:hAnsiTheme="majorHAnsi" w:cstheme="majorHAnsi"/>
                <w:sz w:val="17"/>
                <w:szCs w:val="17"/>
              </w:rPr>
            </w:pPr>
            <w:r>
              <w:rPr>
                <w:rFonts w:asciiTheme="majorHAnsi" w:hAnsiTheme="majorHAnsi" w:cstheme="majorHAnsi"/>
                <w:sz w:val="17"/>
                <w:szCs w:val="17"/>
              </w:rPr>
              <w:t>Estructura</w:t>
            </w:r>
          </w:p>
        </w:tc>
      </w:tr>
      <w:tr w:rsidR="00BC541B" w14:paraId="0901C8CD" w14:textId="77777777">
        <w:trPr>
          <w:trHeight w:val="451"/>
        </w:trPr>
        <w:tc>
          <w:tcPr>
            <w:tcW w:w="1838" w:type="dxa"/>
            <w:shd w:val="clear" w:color="auto" w:fill="E7E6E6" w:themeFill="background2"/>
            <w:vAlign w:val="center"/>
          </w:tcPr>
          <w:p w14:paraId="6D423103" w14:textId="77777777" w:rsidR="00BC541B" w:rsidRDefault="001277CA">
            <w:pPr>
              <w:pStyle w:val="Prrafodelista"/>
              <w:numPr>
                <w:ilvl w:val="0"/>
                <w:numId w:val="9"/>
              </w:numPr>
              <w:spacing w:after="0" w:line="240" w:lineRule="auto"/>
              <w:ind w:left="164" w:hanging="142"/>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Lic. Oscar Martínez </w:t>
            </w:r>
            <w:proofErr w:type="spellStart"/>
            <w:r>
              <w:rPr>
                <w:rFonts w:asciiTheme="majorHAnsi" w:hAnsiTheme="majorHAnsi" w:cstheme="majorHAnsi"/>
                <w:color w:val="000000" w:themeColor="text1"/>
                <w:sz w:val="17"/>
                <w:szCs w:val="17"/>
              </w:rPr>
              <w:t>Martínez</w:t>
            </w:r>
            <w:proofErr w:type="spellEnd"/>
            <w:r>
              <w:rPr>
                <w:rFonts w:asciiTheme="majorHAnsi" w:hAnsiTheme="majorHAnsi" w:cstheme="majorHAnsi"/>
                <w:color w:val="000000" w:themeColor="text1"/>
                <w:sz w:val="17"/>
                <w:szCs w:val="17"/>
              </w:rPr>
              <w:t xml:space="preserve">. </w:t>
            </w:r>
          </w:p>
          <w:p w14:paraId="004124AF" w14:textId="2ACC4C5C" w:rsidR="00BC541B" w:rsidRDefault="001277CA">
            <w:pPr>
              <w:pStyle w:val="Prrafodelista"/>
              <w:numPr>
                <w:ilvl w:val="0"/>
                <w:numId w:val="9"/>
              </w:numPr>
              <w:spacing w:after="0" w:line="240" w:lineRule="auto"/>
              <w:ind w:left="164" w:hanging="142"/>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Lic. Edgardo López Galán</w:t>
            </w:r>
          </w:p>
          <w:p w14:paraId="7A9A293B" w14:textId="072CA50A" w:rsidR="00E16CD5" w:rsidRDefault="00E16CD5">
            <w:pPr>
              <w:pStyle w:val="Prrafodelista"/>
              <w:numPr>
                <w:ilvl w:val="0"/>
                <w:numId w:val="9"/>
              </w:numPr>
              <w:spacing w:after="0" w:line="240" w:lineRule="auto"/>
              <w:ind w:left="164" w:hanging="142"/>
              <w:jc w:val="both"/>
              <w:rPr>
                <w:rFonts w:asciiTheme="majorHAnsi" w:hAnsiTheme="majorHAnsi" w:cstheme="majorHAnsi"/>
                <w:color w:val="000000" w:themeColor="text1"/>
                <w:sz w:val="17"/>
                <w:szCs w:val="17"/>
              </w:rPr>
            </w:pPr>
            <w:r>
              <w:rPr>
                <w:sz w:val="16"/>
                <w:szCs w:val="16"/>
              </w:rPr>
              <w:t xml:space="preserve">Gualberto </w:t>
            </w:r>
            <w:proofErr w:type="spellStart"/>
            <w:r>
              <w:rPr>
                <w:sz w:val="16"/>
                <w:szCs w:val="16"/>
              </w:rPr>
              <w:t>Yitzhack</w:t>
            </w:r>
            <w:proofErr w:type="spellEnd"/>
            <w:r>
              <w:rPr>
                <w:sz w:val="16"/>
                <w:szCs w:val="16"/>
              </w:rPr>
              <w:t xml:space="preserve"> Zarate Villa</w:t>
            </w:r>
          </w:p>
          <w:p w14:paraId="4602D33C" w14:textId="77777777" w:rsidR="00BC541B" w:rsidRDefault="001277CA">
            <w:pPr>
              <w:pStyle w:val="Prrafodelista"/>
              <w:numPr>
                <w:ilvl w:val="0"/>
                <w:numId w:val="9"/>
              </w:numPr>
              <w:spacing w:after="0" w:line="240" w:lineRule="auto"/>
              <w:ind w:left="164" w:hanging="142"/>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Personal adicional según el organigrama.</w:t>
            </w:r>
          </w:p>
        </w:tc>
        <w:tc>
          <w:tcPr>
            <w:tcW w:w="3059" w:type="dxa"/>
            <w:shd w:val="clear" w:color="auto" w:fill="E7E6E6" w:themeFill="background2"/>
            <w:vAlign w:val="center"/>
          </w:tcPr>
          <w:p w14:paraId="756E7558"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Personal asignado para la elaboración y práctica de las notificaciones.</w:t>
            </w:r>
          </w:p>
        </w:tc>
        <w:tc>
          <w:tcPr>
            <w:tcW w:w="3887" w:type="dxa"/>
            <w:shd w:val="clear" w:color="auto" w:fill="E7E6E6" w:themeFill="background2"/>
            <w:vAlign w:val="center"/>
          </w:tcPr>
          <w:p w14:paraId="4BB0DF51"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 Elaboración de oficios de notificación.</w:t>
            </w:r>
          </w:p>
          <w:p w14:paraId="2790003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II. Elaboración de citatorios y cédulas de notificación.</w:t>
            </w:r>
          </w:p>
          <w:p w14:paraId="0EF8F1A5"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III. Acudir a las oficinas públicas o domicilios particulares, en todo el Estado, para ejecutar la práctica de las notificaciones que se hubieren ordenado en cualquiera de los procedimientos instruidos por la Unidad. </w:t>
            </w:r>
          </w:p>
          <w:p w14:paraId="2246299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IV. Asentar las razones sobre las notificaciones realizadas. </w:t>
            </w:r>
          </w:p>
          <w:p w14:paraId="059A6F6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V. Realizar la práctica de notificaciones o entrega de documentación que remita la Secretaría Ejecutiva.  </w:t>
            </w:r>
          </w:p>
          <w:p w14:paraId="64F8FD7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 Realizar el auxilio de labores que sean requeridos por autoridades diversas o ajenas a este Instituto.</w:t>
            </w:r>
          </w:p>
          <w:p w14:paraId="675D25E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VII. Integrar los expedientes mediante el folio, entre sello, rubrica y costura de los expedientes para su posterior retorno a los proyectistas.</w:t>
            </w:r>
          </w:p>
          <w:p w14:paraId="6D5B539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VIII. Elaborar, en su caso, las actas circunstanciadas que se hubieran ordenado para la debida instrucción de los expedientes motivo del conocimiento de la Unidad.</w:t>
            </w:r>
          </w:p>
          <w:p w14:paraId="299894ED" w14:textId="6EE6A005" w:rsidR="00BC541B" w:rsidRDefault="001277CA" w:rsidP="00E16CD5">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IX. Auxiliar a la Titular de la Unidad en el establecimiento de rutas para la ejecución de las notificaciones que se requieran.</w:t>
            </w:r>
          </w:p>
        </w:tc>
        <w:tc>
          <w:tcPr>
            <w:tcW w:w="2410" w:type="dxa"/>
            <w:shd w:val="clear" w:color="auto" w:fill="E7E6E6" w:themeFill="background2"/>
          </w:tcPr>
          <w:p w14:paraId="5D96078F"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Cuerpo de notificadores. </w:t>
            </w:r>
          </w:p>
        </w:tc>
        <w:tc>
          <w:tcPr>
            <w:tcW w:w="1586" w:type="dxa"/>
            <w:shd w:val="clear" w:color="auto" w:fill="E7E6E6" w:themeFill="background2"/>
            <w:vAlign w:val="center"/>
          </w:tcPr>
          <w:p w14:paraId="5FACF361"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Eventuales</w:t>
            </w:r>
          </w:p>
        </w:tc>
      </w:tr>
      <w:tr w:rsidR="00BC541B" w14:paraId="52CCA386" w14:textId="77777777">
        <w:trPr>
          <w:trHeight w:val="451"/>
        </w:trPr>
        <w:tc>
          <w:tcPr>
            <w:tcW w:w="1838" w:type="dxa"/>
            <w:shd w:val="clear" w:color="auto" w:fill="auto"/>
            <w:vAlign w:val="center"/>
          </w:tcPr>
          <w:p w14:paraId="4C2582E9" w14:textId="77777777" w:rsidR="00E16CD5" w:rsidRPr="00E16CD5" w:rsidRDefault="00E16CD5" w:rsidP="00E16CD5">
            <w:pPr>
              <w:pStyle w:val="Prrafodelista"/>
              <w:numPr>
                <w:ilvl w:val="0"/>
                <w:numId w:val="10"/>
              </w:numPr>
              <w:rPr>
                <w:rFonts w:asciiTheme="majorHAnsi" w:hAnsiTheme="majorHAnsi" w:cstheme="majorHAnsi"/>
                <w:color w:val="000000" w:themeColor="text1"/>
                <w:sz w:val="17"/>
                <w:szCs w:val="17"/>
              </w:rPr>
            </w:pPr>
            <w:r w:rsidRPr="00E16CD5">
              <w:rPr>
                <w:rFonts w:asciiTheme="majorHAnsi" w:hAnsiTheme="majorHAnsi" w:cstheme="majorHAnsi"/>
                <w:color w:val="000000" w:themeColor="text1"/>
                <w:sz w:val="17"/>
                <w:szCs w:val="17"/>
              </w:rPr>
              <w:t>Lic. Erika José Clemente</w:t>
            </w:r>
          </w:p>
          <w:p w14:paraId="24811DEA" w14:textId="4D8210FB" w:rsidR="00BC541B" w:rsidRPr="00D13297" w:rsidRDefault="00BC541B" w:rsidP="00D13297">
            <w:pPr>
              <w:spacing w:after="0" w:line="240" w:lineRule="auto"/>
              <w:jc w:val="both"/>
              <w:rPr>
                <w:rFonts w:asciiTheme="majorHAnsi" w:hAnsiTheme="majorHAnsi" w:cstheme="majorHAnsi"/>
                <w:color w:val="000000" w:themeColor="text1"/>
                <w:sz w:val="17"/>
                <w:szCs w:val="17"/>
              </w:rPr>
            </w:pPr>
          </w:p>
        </w:tc>
        <w:tc>
          <w:tcPr>
            <w:tcW w:w="3059" w:type="dxa"/>
            <w:shd w:val="clear" w:color="auto" w:fill="auto"/>
            <w:vAlign w:val="center"/>
          </w:tcPr>
          <w:p w14:paraId="578DF82C" w14:textId="77777777" w:rsidR="00BC541B" w:rsidRDefault="00BC541B">
            <w:pPr>
              <w:spacing w:after="0" w:line="240" w:lineRule="auto"/>
              <w:rPr>
                <w:rFonts w:asciiTheme="majorHAnsi" w:hAnsiTheme="majorHAnsi" w:cstheme="majorHAnsi"/>
                <w:color w:val="000000" w:themeColor="text1"/>
                <w:sz w:val="17"/>
                <w:szCs w:val="17"/>
              </w:rPr>
            </w:pPr>
          </w:p>
          <w:p w14:paraId="086571C1" w14:textId="77777777" w:rsidR="00BC541B" w:rsidRDefault="001277CA">
            <w:pPr>
              <w:spacing w:after="0" w:line="240" w:lineRule="auto"/>
              <w:jc w:val="center"/>
              <w:rPr>
                <w:rFonts w:asciiTheme="majorHAnsi" w:hAnsiTheme="majorHAnsi" w:cstheme="majorHAnsi"/>
                <w:color w:val="000000" w:themeColor="text1"/>
                <w:sz w:val="17"/>
                <w:szCs w:val="17"/>
              </w:rPr>
            </w:pPr>
            <w:bookmarkStart w:id="1" w:name="_Hlk206670855"/>
            <w:r>
              <w:rPr>
                <w:rFonts w:asciiTheme="majorHAnsi" w:hAnsiTheme="majorHAnsi" w:cstheme="majorHAnsi"/>
                <w:color w:val="000000" w:themeColor="text1"/>
                <w:sz w:val="17"/>
                <w:szCs w:val="17"/>
              </w:rPr>
              <w:t>Encargada de correspondencia interna y archivo histórico</w:t>
            </w:r>
            <w:bookmarkEnd w:id="1"/>
          </w:p>
        </w:tc>
        <w:tc>
          <w:tcPr>
            <w:tcW w:w="3887" w:type="dxa"/>
            <w:shd w:val="clear" w:color="auto" w:fill="auto"/>
            <w:vAlign w:val="center"/>
          </w:tcPr>
          <w:p w14:paraId="2F7F754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 </w:t>
            </w:r>
            <w:r>
              <w:rPr>
                <w:rFonts w:asciiTheme="majorHAnsi" w:hAnsiTheme="majorHAnsi" w:cstheme="majorHAnsi"/>
                <w:sz w:val="17"/>
                <w:szCs w:val="17"/>
              </w:rPr>
              <w:t xml:space="preserve"> </w:t>
            </w:r>
            <w:r>
              <w:rPr>
                <w:rFonts w:asciiTheme="majorHAnsi" w:hAnsiTheme="majorHAnsi" w:cstheme="majorHAnsi"/>
                <w:color w:val="000000" w:themeColor="text1"/>
                <w:sz w:val="17"/>
                <w:szCs w:val="17"/>
              </w:rPr>
              <w:t>Recibir y turnar la documentación que ingresa por oficialía de partes para la Unidad Técnica jurídica y para la Comisión de Quejas y denuncias.</w:t>
            </w:r>
          </w:p>
          <w:p w14:paraId="6AB8F7D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 Ser la encargada de la recepción de solicitudes de certificación por cualquier área del Instituto. </w:t>
            </w:r>
          </w:p>
          <w:p w14:paraId="2D571B8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III. Realizar la perforación, folio, rubrica, y entre sellado, así como la elaboración del documento, de aquella documentación que se remita a la unidad con la finalidad de que sea certificada por la Secretaría Ejecutiva del Instituto.</w:t>
            </w:r>
          </w:p>
          <w:p w14:paraId="2680AED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IV. Ser la persona que se encargue de operar la recepción, control, trámite, integración y remisión de la documentación de los medios de impugnación al órgano jurisdiccional.</w:t>
            </w:r>
          </w:p>
          <w:p w14:paraId="0DBD122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  Archivar las sentencias de los órganos jurisdiccionales relacionadas con los medios de impugnación iniciados en contra de órganos del Instituto. </w:t>
            </w:r>
          </w:p>
          <w:p w14:paraId="5F1D87D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 </w:t>
            </w:r>
            <w:r>
              <w:rPr>
                <w:rFonts w:asciiTheme="majorHAnsi" w:hAnsiTheme="majorHAnsi" w:cstheme="majorHAnsi"/>
                <w:sz w:val="17"/>
                <w:szCs w:val="17"/>
              </w:rPr>
              <w:t xml:space="preserve"> </w:t>
            </w:r>
            <w:r>
              <w:rPr>
                <w:rFonts w:asciiTheme="majorHAnsi" w:hAnsiTheme="majorHAnsi" w:cstheme="majorHAnsi"/>
                <w:color w:val="000000" w:themeColor="text1"/>
                <w:sz w:val="17"/>
                <w:szCs w:val="17"/>
              </w:rPr>
              <w:t>Llevar el control de turnos de correspondencia, incluyendo las promociones de los diferentes procedimientos que se sustancian en la Unidad Técnica Jurídica y en la Comisión Quejas.</w:t>
            </w:r>
          </w:p>
          <w:p w14:paraId="70B0DFD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w:t>
            </w:r>
            <w:r>
              <w:rPr>
                <w:rFonts w:asciiTheme="majorHAnsi" w:hAnsiTheme="majorHAnsi" w:cstheme="majorHAnsi"/>
                <w:sz w:val="17"/>
                <w:szCs w:val="17"/>
              </w:rPr>
              <w:t xml:space="preserve"> </w:t>
            </w:r>
            <w:r>
              <w:rPr>
                <w:rFonts w:asciiTheme="majorHAnsi" w:hAnsiTheme="majorHAnsi" w:cstheme="majorHAnsi"/>
                <w:color w:val="000000" w:themeColor="text1"/>
                <w:sz w:val="17"/>
                <w:szCs w:val="17"/>
              </w:rPr>
              <w:t xml:space="preserve">Llevar a cabo la concentración de datos, estadística e informes de los diversos asuntos materia de competencia de la Unidad Técnica. </w:t>
            </w:r>
          </w:p>
          <w:p w14:paraId="637A9FE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VIII. Realizar los informes estadísticos que solicite la Secretaría Ejecutiva respecto de asuntos de competencia de la Unidad Técnica. </w:t>
            </w:r>
          </w:p>
          <w:p w14:paraId="7ACC68B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IX.  Cuando se requiera y bajo la supervisión de ellos, auxiliar a los proyectistas a foliar, rubricar, entre sellar los expedientes para su debida integración.</w:t>
            </w:r>
          </w:p>
          <w:p w14:paraId="1A1A78D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 Auxiliar en la elaboración de oficios de la Unidad Técnica Jurídica para trámites administrativos internos. </w:t>
            </w:r>
          </w:p>
          <w:p w14:paraId="5481A9A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 Ser la encargada de llevar el control de archivo de expedientes instruidos en el índice de la Comisión de Quejas y Denuncias o Procedimiento Contencioso Electoral. </w:t>
            </w:r>
          </w:p>
          <w:p w14:paraId="4AFA04B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 Apoyar con la integración del archivo histórico. </w:t>
            </w:r>
          </w:p>
          <w:p w14:paraId="120BA4C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XIII. Tener bajo su resguardo y vigila los libros de registro de expedientes, certificaciones, notificaciones, archivo, acuerdos, remisión de expedientes y demás que se encuentren en la Unidad Técnica Jurídica. </w:t>
            </w:r>
          </w:p>
          <w:p w14:paraId="36C9A120" w14:textId="2095D3E2" w:rsidR="00BC541B" w:rsidRDefault="001277CA" w:rsidP="00E16CD5">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XIV. Realizar los trámites administrativos de carácter interno en la Unidad, con la finalidad de que esta cumpla con sus finalidades.</w:t>
            </w:r>
          </w:p>
        </w:tc>
        <w:tc>
          <w:tcPr>
            <w:tcW w:w="2410" w:type="dxa"/>
          </w:tcPr>
          <w:p w14:paraId="70372250" w14:textId="77777777" w:rsidR="00BC541B"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lastRenderedPageBreak/>
              <w:t>Recepción de correspondencia y temas administrativos de la unidad.</w:t>
            </w:r>
          </w:p>
        </w:tc>
        <w:tc>
          <w:tcPr>
            <w:tcW w:w="1586" w:type="dxa"/>
            <w:shd w:val="clear" w:color="auto" w:fill="auto"/>
            <w:vAlign w:val="center"/>
          </w:tcPr>
          <w:p w14:paraId="0E2C412A"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Eventual </w:t>
            </w:r>
          </w:p>
        </w:tc>
      </w:tr>
      <w:tr w:rsidR="00BC541B" w14:paraId="39710DAB" w14:textId="77777777">
        <w:trPr>
          <w:trHeight w:val="451"/>
        </w:trPr>
        <w:tc>
          <w:tcPr>
            <w:tcW w:w="1838" w:type="dxa"/>
            <w:shd w:val="clear" w:color="auto" w:fill="E7E6E6" w:themeFill="background2"/>
            <w:vAlign w:val="center"/>
          </w:tcPr>
          <w:p w14:paraId="36790010" w14:textId="77777777" w:rsidR="00D13297" w:rsidRPr="00BD76FC" w:rsidRDefault="00D13297" w:rsidP="00BD76FC">
            <w:pPr>
              <w:pStyle w:val="Prrafodelista"/>
              <w:numPr>
                <w:ilvl w:val="0"/>
                <w:numId w:val="14"/>
              </w:numPr>
              <w:spacing w:after="0"/>
              <w:rPr>
                <w:sz w:val="16"/>
                <w:szCs w:val="16"/>
              </w:rPr>
            </w:pPr>
            <w:r w:rsidRPr="00BD76FC">
              <w:rPr>
                <w:sz w:val="16"/>
                <w:szCs w:val="16"/>
              </w:rPr>
              <w:t>Oscar Jesús Cruz Avendaño</w:t>
            </w:r>
          </w:p>
          <w:p w14:paraId="4BBD4A57" w14:textId="77777777" w:rsidR="00D13297" w:rsidRDefault="00D13297" w:rsidP="00BD76FC">
            <w:pPr>
              <w:spacing w:after="0" w:line="240" w:lineRule="auto"/>
              <w:rPr>
                <w:sz w:val="16"/>
                <w:szCs w:val="16"/>
              </w:rPr>
            </w:pPr>
          </w:p>
          <w:p w14:paraId="3063163B" w14:textId="6B8F22AF" w:rsidR="00E16CD5" w:rsidRPr="00BD76FC" w:rsidRDefault="00E16CD5" w:rsidP="00BD76FC">
            <w:pPr>
              <w:pStyle w:val="Prrafodelista"/>
              <w:numPr>
                <w:ilvl w:val="0"/>
                <w:numId w:val="14"/>
              </w:numPr>
              <w:spacing w:after="0" w:line="240" w:lineRule="auto"/>
              <w:rPr>
                <w:sz w:val="16"/>
                <w:szCs w:val="16"/>
              </w:rPr>
            </w:pPr>
            <w:r w:rsidRPr="00BD76FC">
              <w:rPr>
                <w:sz w:val="16"/>
                <w:szCs w:val="16"/>
              </w:rPr>
              <w:t>Andrés Ricardo Vaquero Zarate</w:t>
            </w:r>
          </w:p>
          <w:p w14:paraId="3B0D9A57" w14:textId="22B0969F" w:rsidR="00D13297" w:rsidRPr="00BD76FC" w:rsidRDefault="00D13297" w:rsidP="00BD76FC">
            <w:pPr>
              <w:pStyle w:val="Prrafodelista"/>
              <w:numPr>
                <w:ilvl w:val="0"/>
                <w:numId w:val="14"/>
              </w:numPr>
              <w:spacing w:after="0" w:line="240" w:lineRule="auto"/>
              <w:rPr>
                <w:sz w:val="16"/>
                <w:szCs w:val="16"/>
              </w:rPr>
            </w:pPr>
            <w:r w:rsidRPr="00BD76FC">
              <w:rPr>
                <w:sz w:val="16"/>
                <w:szCs w:val="16"/>
              </w:rPr>
              <w:t>Cinthya Soledad Ruiz Martínez</w:t>
            </w:r>
          </w:p>
          <w:p w14:paraId="1B353577" w14:textId="77777777" w:rsidR="00D13297" w:rsidRDefault="00D13297" w:rsidP="00E16CD5">
            <w:pPr>
              <w:spacing w:after="0" w:line="240" w:lineRule="auto"/>
              <w:jc w:val="center"/>
              <w:rPr>
                <w:sz w:val="16"/>
                <w:szCs w:val="16"/>
              </w:rPr>
            </w:pPr>
          </w:p>
          <w:p w14:paraId="0FAA3F86" w14:textId="0DD0EA13" w:rsidR="00BC541B" w:rsidRPr="00E16CD5" w:rsidRDefault="00BC541B" w:rsidP="00BD76FC">
            <w:pPr>
              <w:spacing w:after="0" w:line="240" w:lineRule="auto"/>
              <w:jc w:val="center"/>
              <w:rPr>
                <w:sz w:val="16"/>
                <w:szCs w:val="16"/>
              </w:rPr>
            </w:pPr>
          </w:p>
        </w:tc>
        <w:tc>
          <w:tcPr>
            <w:tcW w:w="3059" w:type="dxa"/>
            <w:shd w:val="clear" w:color="auto" w:fill="E7E6E6" w:themeFill="background2"/>
            <w:vAlign w:val="center"/>
          </w:tcPr>
          <w:p w14:paraId="1153A41E"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Personal designado para la recepción de documentación en la oficialía de partes.</w:t>
            </w:r>
          </w:p>
        </w:tc>
        <w:tc>
          <w:tcPr>
            <w:tcW w:w="3887" w:type="dxa"/>
            <w:shd w:val="clear" w:color="auto" w:fill="E7E6E6" w:themeFill="background2"/>
            <w:vAlign w:val="center"/>
          </w:tcPr>
          <w:p w14:paraId="59CAD2D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  Revisar y recibir la documentación que la ciudadanía ingresa al Instituto por medio de la oficialía de partes.</w:t>
            </w:r>
          </w:p>
          <w:p w14:paraId="61532FB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II. Realizar el registro y la asignación de folios en la documentación que ingresa al instituto por medio de la oficialía de partes.</w:t>
            </w:r>
          </w:p>
          <w:p w14:paraId="2728BB8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III. Digitalizar la documentación que ingresa al instituto por medio de la oficialía de partes, y realizar su resguardo en el medio magnético correspondiente. </w:t>
            </w:r>
          </w:p>
          <w:p w14:paraId="04D8F78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IV. Circular por correo electrónico a las áreas correspondientes al interior del instituto, así como a las Consejerías la documentación que es recibida. </w:t>
            </w:r>
          </w:p>
          <w:p w14:paraId="7D2860E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V. Hacer entrega física en el área correspondiente y recabar la firma de recepción respecto de la documentación que se hubiera turnado.</w:t>
            </w:r>
          </w:p>
          <w:p w14:paraId="2D6DCA7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 Realizar los informes correspondientes sobre la recepción de la documentación que le sean solicitados. </w:t>
            </w:r>
          </w:p>
          <w:p w14:paraId="2719E3B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 Estar pendiente, aun fuera de días hábiles, respecto de la documentación que pretenda presentarse por medio de área de oficialía de partes. </w:t>
            </w:r>
          </w:p>
          <w:p w14:paraId="50CBBB5C" w14:textId="0613FF63" w:rsidR="00BC541B" w:rsidRDefault="001277CA" w:rsidP="00E16CD5">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VIII. Guardar estrecha comunicación con el área de Secretaría Ejecutiva para determinar el área a la cual será turnada la documentación. </w:t>
            </w:r>
          </w:p>
        </w:tc>
        <w:tc>
          <w:tcPr>
            <w:tcW w:w="2410" w:type="dxa"/>
            <w:shd w:val="clear" w:color="auto" w:fill="E7E6E6" w:themeFill="background2"/>
          </w:tcPr>
          <w:p w14:paraId="4E8D55B1" w14:textId="77777777" w:rsidR="00BC541B" w:rsidRDefault="00BC541B">
            <w:pPr>
              <w:spacing w:after="0" w:line="240" w:lineRule="auto"/>
              <w:rPr>
                <w:rFonts w:asciiTheme="majorHAnsi" w:hAnsiTheme="majorHAnsi" w:cstheme="majorHAnsi"/>
                <w:color w:val="000000" w:themeColor="text1"/>
                <w:sz w:val="17"/>
                <w:szCs w:val="17"/>
              </w:rPr>
            </w:pPr>
          </w:p>
          <w:p w14:paraId="43699072" w14:textId="77777777" w:rsidR="00BD76FC" w:rsidRDefault="00BD76FC">
            <w:pPr>
              <w:spacing w:after="0" w:line="240" w:lineRule="auto"/>
              <w:rPr>
                <w:rFonts w:asciiTheme="majorHAnsi" w:hAnsiTheme="majorHAnsi" w:cstheme="majorHAnsi"/>
                <w:color w:val="000000" w:themeColor="text1"/>
                <w:sz w:val="17"/>
                <w:szCs w:val="17"/>
              </w:rPr>
            </w:pPr>
          </w:p>
          <w:p w14:paraId="31B128A9" w14:textId="77777777" w:rsidR="00BD76FC" w:rsidRDefault="00BD76FC">
            <w:pPr>
              <w:spacing w:after="0" w:line="240" w:lineRule="auto"/>
              <w:rPr>
                <w:rFonts w:asciiTheme="majorHAnsi" w:hAnsiTheme="majorHAnsi" w:cstheme="majorHAnsi"/>
                <w:color w:val="000000" w:themeColor="text1"/>
                <w:sz w:val="17"/>
                <w:szCs w:val="17"/>
              </w:rPr>
            </w:pPr>
          </w:p>
          <w:p w14:paraId="46CD0CCA" w14:textId="77777777" w:rsidR="00BD76FC" w:rsidRDefault="00BD76FC">
            <w:pPr>
              <w:spacing w:after="0" w:line="240" w:lineRule="auto"/>
              <w:rPr>
                <w:rFonts w:asciiTheme="majorHAnsi" w:hAnsiTheme="majorHAnsi" w:cstheme="majorHAnsi"/>
                <w:color w:val="000000" w:themeColor="text1"/>
                <w:sz w:val="17"/>
                <w:szCs w:val="17"/>
              </w:rPr>
            </w:pPr>
          </w:p>
          <w:p w14:paraId="502AE93C" w14:textId="77777777" w:rsidR="00BD76FC" w:rsidRDefault="00BD76FC">
            <w:pPr>
              <w:spacing w:after="0" w:line="240" w:lineRule="auto"/>
              <w:rPr>
                <w:rFonts w:asciiTheme="majorHAnsi" w:hAnsiTheme="majorHAnsi" w:cstheme="majorHAnsi"/>
                <w:color w:val="000000" w:themeColor="text1"/>
                <w:sz w:val="17"/>
                <w:szCs w:val="17"/>
              </w:rPr>
            </w:pPr>
          </w:p>
          <w:p w14:paraId="2A51E13F" w14:textId="77777777" w:rsidR="00BD76FC" w:rsidRDefault="00BD76FC">
            <w:pPr>
              <w:spacing w:after="0" w:line="240" w:lineRule="auto"/>
              <w:rPr>
                <w:rFonts w:asciiTheme="majorHAnsi" w:hAnsiTheme="majorHAnsi" w:cstheme="majorHAnsi"/>
                <w:color w:val="000000" w:themeColor="text1"/>
                <w:sz w:val="17"/>
                <w:szCs w:val="17"/>
              </w:rPr>
            </w:pPr>
          </w:p>
          <w:p w14:paraId="32DF958F" w14:textId="73DE72AF" w:rsidR="00BD76FC" w:rsidRDefault="00BD76FC">
            <w:pPr>
              <w:spacing w:after="0" w:line="240" w:lineRule="auto"/>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Recepción de correspondencia y temas administrativos </w:t>
            </w:r>
            <w:r>
              <w:rPr>
                <w:rFonts w:asciiTheme="majorHAnsi" w:hAnsiTheme="majorHAnsi" w:cstheme="majorHAnsi"/>
                <w:color w:val="000000" w:themeColor="text1"/>
                <w:sz w:val="17"/>
                <w:szCs w:val="17"/>
              </w:rPr>
              <w:t>y generales del IEEPCO</w:t>
            </w:r>
          </w:p>
        </w:tc>
        <w:tc>
          <w:tcPr>
            <w:tcW w:w="1586" w:type="dxa"/>
            <w:shd w:val="clear" w:color="auto" w:fill="E7E6E6" w:themeFill="background2"/>
            <w:vAlign w:val="center"/>
          </w:tcPr>
          <w:p w14:paraId="46796052" w14:textId="2FABD47A" w:rsidR="00BC541B" w:rsidRDefault="00BD76FC">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Eventuales</w:t>
            </w:r>
          </w:p>
        </w:tc>
      </w:tr>
      <w:tr w:rsidR="00BD76FC" w14:paraId="6A6E7F4C" w14:textId="77777777" w:rsidTr="00BD76FC">
        <w:trPr>
          <w:trHeight w:val="451"/>
        </w:trPr>
        <w:tc>
          <w:tcPr>
            <w:tcW w:w="1838" w:type="dxa"/>
            <w:shd w:val="clear" w:color="auto" w:fill="auto"/>
            <w:vAlign w:val="center"/>
          </w:tcPr>
          <w:p w14:paraId="6BF52E2F" w14:textId="5D00F90E" w:rsidR="00BD76FC" w:rsidRPr="00BD76FC" w:rsidRDefault="00BD76FC" w:rsidP="00BD76FC">
            <w:pPr>
              <w:pStyle w:val="Prrafodelista"/>
              <w:numPr>
                <w:ilvl w:val="0"/>
                <w:numId w:val="13"/>
              </w:numPr>
              <w:spacing w:after="0"/>
              <w:jc w:val="both"/>
              <w:rPr>
                <w:sz w:val="16"/>
                <w:szCs w:val="16"/>
              </w:rPr>
            </w:pPr>
            <w:r w:rsidRPr="00BD76FC">
              <w:rPr>
                <w:sz w:val="16"/>
                <w:szCs w:val="16"/>
              </w:rPr>
              <w:lastRenderedPageBreak/>
              <w:t>Laura María Sánchez Hernández</w:t>
            </w:r>
          </w:p>
        </w:tc>
        <w:tc>
          <w:tcPr>
            <w:tcW w:w="3059" w:type="dxa"/>
            <w:shd w:val="clear" w:color="auto" w:fill="auto"/>
            <w:vAlign w:val="center"/>
          </w:tcPr>
          <w:p w14:paraId="37F9BBE2" w14:textId="7C730937" w:rsidR="00BD76FC" w:rsidRDefault="00BD76FC" w:rsidP="00BD76FC">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Personal designado para la elaboración de Actas</w:t>
            </w:r>
          </w:p>
        </w:tc>
        <w:tc>
          <w:tcPr>
            <w:tcW w:w="3887" w:type="dxa"/>
            <w:shd w:val="clear" w:color="auto" w:fill="auto"/>
            <w:vAlign w:val="center"/>
          </w:tcPr>
          <w:p w14:paraId="185F6AA0" w14:textId="77777777" w:rsidR="00BD76FC" w:rsidRPr="00BD76FC" w:rsidRDefault="00BD76FC" w:rsidP="00BD76FC">
            <w:pPr>
              <w:spacing w:after="0" w:line="240" w:lineRule="auto"/>
              <w:jc w:val="both"/>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 xml:space="preserve">Ser la persona responsable de la elaboración, revisión y propuesta de actas relacionadas con el ejercicio de la función de la fe pública para actos de naturaleza electoral.  </w:t>
            </w:r>
          </w:p>
          <w:p w14:paraId="02A99BDB" w14:textId="1F8A2843" w:rsidR="00BD76FC" w:rsidRDefault="00BD76FC" w:rsidP="00BD76FC">
            <w:pPr>
              <w:spacing w:after="0" w:line="240" w:lineRule="auto"/>
              <w:jc w:val="both"/>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 xml:space="preserve">II. Realizar los trámites administrativos necesarios que permitan ejercer su función de elaboración, revisión y propuesta de actas relacionadas con el ejercicio de la función de la fe pública para actos de naturaleza electoral.  </w:t>
            </w:r>
          </w:p>
        </w:tc>
        <w:tc>
          <w:tcPr>
            <w:tcW w:w="2410" w:type="dxa"/>
            <w:shd w:val="clear" w:color="auto" w:fill="auto"/>
          </w:tcPr>
          <w:p w14:paraId="3FCCD05D" w14:textId="72E83FED" w:rsidR="00BD76FC" w:rsidRDefault="00012E51">
            <w:pPr>
              <w:spacing w:after="0" w:line="240" w:lineRule="auto"/>
              <w:rPr>
                <w:rFonts w:asciiTheme="majorHAnsi" w:hAnsiTheme="majorHAnsi" w:cstheme="majorHAnsi"/>
                <w:color w:val="000000" w:themeColor="text1"/>
                <w:sz w:val="17"/>
                <w:szCs w:val="17"/>
              </w:rPr>
            </w:pPr>
            <w:r w:rsidRPr="00012E51">
              <w:rPr>
                <w:rFonts w:asciiTheme="majorHAnsi" w:hAnsiTheme="majorHAnsi" w:cstheme="majorHAnsi"/>
                <w:color w:val="000000" w:themeColor="text1"/>
                <w:sz w:val="17"/>
                <w:szCs w:val="17"/>
              </w:rPr>
              <w:t xml:space="preserve">Sustanciar </w:t>
            </w:r>
            <w:r>
              <w:rPr>
                <w:rFonts w:asciiTheme="majorHAnsi" w:hAnsiTheme="majorHAnsi" w:cstheme="majorHAnsi"/>
                <w:color w:val="000000" w:themeColor="text1"/>
                <w:sz w:val="17"/>
                <w:szCs w:val="17"/>
              </w:rPr>
              <w:t xml:space="preserve">y elaborar actas y </w:t>
            </w:r>
            <w:r w:rsidRPr="00012E51">
              <w:rPr>
                <w:rFonts w:asciiTheme="majorHAnsi" w:hAnsiTheme="majorHAnsi" w:cstheme="majorHAnsi"/>
                <w:color w:val="000000" w:themeColor="text1"/>
                <w:sz w:val="17"/>
                <w:szCs w:val="17"/>
              </w:rPr>
              <w:t>expedientes</w:t>
            </w:r>
            <w:r w:rsidRPr="00012E51">
              <w:rPr>
                <w:rFonts w:asciiTheme="majorHAnsi" w:hAnsiTheme="majorHAnsi" w:cstheme="majorHAnsi"/>
                <w:color w:val="000000" w:themeColor="text1"/>
                <w:sz w:val="17"/>
                <w:szCs w:val="17"/>
              </w:rPr>
              <w:t xml:space="preserve"> o asuntos que se hubieran hecho de su conocimiento</w:t>
            </w:r>
          </w:p>
        </w:tc>
        <w:tc>
          <w:tcPr>
            <w:tcW w:w="1586" w:type="dxa"/>
            <w:shd w:val="clear" w:color="auto" w:fill="auto"/>
            <w:vAlign w:val="center"/>
          </w:tcPr>
          <w:p w14:paraId="2F625548" w14:textId="59CC4D38" w:rsidR="00BD76FC" w:rsidRDefault="00BD76FC">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Eventual</w:t>
            </w:r>
          </w:p>
        </w:tc>
      </w:tr>
      <w:tr w:rsidR="00BD76FC" w14:paraId="6CCCF361" w14:textId="77777777">
        <w:trPr>
          <w:trHeight w:val="451"/>
        </w:trPr>
        <w:tc>
          <w:tcPr>
            <w:tcW w:w="1838" w:type="dxa"/>
            <w:shd w:val="clear" w:color="auto" w:fill="E7E6E6" w:themeFill="background2"/>
            <w:vAlign w:val="center"/>
          </w:tcPr>
          <w:p w14:paraId="6DE7B10E" w14:textId="77777777" w:rsidR="00BD76FC" w:rsidRPr="00BD76FC" w:rsidRDefault="00BD76FC" w:rsidP="00BD76FC">
            <w:pPr>
              <w:pStyle w:val="Prrafodelista"/>
              <w:numPr>
                <w:ilvl w:val="0"/>
                <w:numId w:val="13"/>
              </w:numPr>
              <w:spacing w:after="0"/>
              <w:jc w:val="both"/>
              <w:rPr>
                <w:sz w:val="16"/>
                <w:szCs w:val="16"/>
              </w:rPr>
            </w:pPr>
            <w:r w:rsidRPr="00BD76FC">
              <w:rPr>
                <w:sz w:val="16"/>
                <w:szCs w:val="16"/>
              </w:rPr>
              <w:t xml:space="preserve">Julio Cesar Jiménez Sebastián </w:t>
            </w:r>
          </w:p>
          <w:p w14:paraId="451B8F24" w14:textId="77777777" w:rsidR="00BD76FC" w:rsidRPr="00BD76FC" w:rsidRDefault="00BD76FC" w:rsidP="00BD76FC">
            <w:pPr>
              <w:pStyle w:val="Prrafodelista"/>
              <w:numPr>
                <w:ilvl w:val="0"/>
                <w:numId w:val="13"/>
              </w:numPr>
              <w:spacing w:after="0"/>
              <w:jc w:val="both"/>
              <w:rPr>
                <w:sz w:val="16"/>
                <w:szCs w:val="16"/>
              </w:rPr>
            </w:pPr>
            <w:r w:rsidRPr="00BD76FC">
              <w:rPr>
                <w:sz w:val="16"/>
                <w:szCs w:val="16"/>
              </w:rPr>
              <w:t>Laura María Sánchez Hernández</w:t>
            </w:r>
          </w:p>
          <w:p w14:paraId="015FAB36" w14:textId="72E9194B" w:rsidR="00BD76FC" w:rsidRPr="00BD76FC" w:rsidRDefault="00012E51" w:rsidP="00BD76FC">
            <w:pPr>
              <w:pStyle w:val="Prrafodelista"/>
              <w:numPr>
                <w:ilvl w:val="0"/>
                <w:numId w:val="13"/>
              </w:numPr>
              <w:spacing w:after="0"/>
              <w:jc w:val="both"/>
              <w:rPr>
                <w:sz w:val="16"/>
                <w:szCs w:val="16"/>
              </w:rPr>
            </w:pPr>
            <w:r w:rsidRPr="00BD76FC">
              <w:rPr>
                <w:sz w:val="16"/>
                <w:szCs w:val="16"/>
              </w:rPr>
              <w:t>Personal Adicional</w:t>
            </w:r>
          </w:p>
        </w:tc>
        <w:tc>
          <w:tcPr>
            <w:tcW w:w="3059" w:type="dxa"/>
            <w:shd w:val="clear" w:color="auto" w:fill="E7E6E6" w:themeFill="background2"/>
            <w:vAlign w:val="center"/>
          </w:tcPr>
          <w:p w14:paraId="4E37DFE7" w14:textId="1E3A5A26" w:rsidR="00BD76FC" w:rsidRDefault="00BD76FC">
            <w:pPr>
              <w:spacing w:after="0" w:line="240" w:lineRule="auto"/>
              <w:jc w:val="center"/>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Proyectistas de Procedimientos y Atención de Asuntos Jurídicos (obligaciones de transparencia por incumplimiento de los partidos políticos)</w:t>
            </w:r>
          </w:p>
        </w:tc>
        <w:tc>
          <w:tcPr>
            <w:tcW w:w="3887" w:type="dxa"/>
            <w:shd w:val="clear" w:color="auto" w:fill="E7E6E6" w:themeFill="background2"/>
            <w:vAlign w:val="center"/>
          </w:tcPr>
          <w:p w14:paraId="167B8CAC" w14:textId="77777777" w:rsidR="00BD76FC" w:rsidRPr="00BD76FC" w:rsidRDefault="00BD76FC" w:rsidP="00BD76FC">
            <w:pPr>
              <w:spacing w:after="0" w:line="240" w:lineRule="auto"/>
              <w:jc w:val="both"/>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 xml:space="preserve">I. Realizar el estudio, análisis, investigación necesaria y prospección de los asuntos que tenga turnados a su cargo. </w:t>
            </w:r>
          </w:p>
          <w:p w14:paraId="1CD05597" w14:textId="77777777" w:rsidR="00BD76FC" w:rsidRPr="00BD76FC" w:rsidRDefault="00BD76FC" w:rsidP="00BD76FC">
            <w:pPr>
              <w:spacing w:after="0" w:line="240" w:lineRule="auto"/>
              <w:jc w:val="both"/>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II. Ser proactivo, con iniciativa, estar al pendiente, ser diligente y atento respecto de la documentación que sea recibida en la Unidad para la debida atención e instrucción de los asuntos que tenga turnados a su cargo, así como en los casos que corresponda, estar al pendiente de las resoluciones o sentencia que recaigan sobre estos.</w:t>
            </w:r>
          </w:p>
          <w:p w14:paraId="50957DFB" w14:textId="7F7030AF" w:rsidR="00BD76FC" w:rsidRDefault="00BD76FC" w:rsidP="00BD76FC">
            <w:pPr>
              <w:spacing w:after="0" w:line="240" w:lineRule="auto"/>
              <w:jc w:val="both"/>
              <w:rPr>
                <w:rFonts w:asciiTheme="majorHAnsi" w:hAnsiTheme="majorHAnsi" w:cstheme="majorHAnsi"/>
                <w:color w:val="000000" w:themeColor="text1"/>
                <w:sz w:val="17"/>
                <w:szCs w:val="17"/>
              </w:rPr>
            </w:pPr>
            <w:r w:rsidRPr="00BD76FC">
              <w:rPr>
                <w:rFonts w:asciiTheme="majorHAnsi" w:hAnsiTheme="majorHAnsi" w:cstheme="majorHAnsi"/>
                <w:color w:val="000000" w:themeColor="text1"/>
                <w:sz w:val="17"/>
                <w:szCs w:val="17"/>
              </w:rPr>
              <w:t>III. Dar cuenta y proponer el sentido de los proyectos a la persona coordinadora del área en que se encuentre adscrita sobre los acuerdos, informes, contestaciones de requerimientos o cualquier otro que se relacione con los expedientes o asunto que le haya sido asignados.</w:t>
            </w:r>
          </w:p>
        </w:tc>
        <w:tc>
          <w:tcPr>
            <w:tcW w:w="2410" w:type="dxa"/>
            <w:shd w:val="clear" w:color="auto" w:fill="E7E6E6" w:themeFill="background2"/>
          </w:tcPr>
          <w:p w14:paraId="120EDC0E" w14:textId="1CF08EF2" w:rsidR="00BD76FC" w:rsidRDefault="00BD76FC">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w:t>
            </w:r>
            <w:r w:rsidRPr="00BD76FC">
              <w:rPr>
                <w:rFonts w:asciiTheme="majorHAnsi" w:hAnsiTheme="majorHAnsi" w:cstheme="majorHAnsi"/>
                <w:color w:val="000000" w:themeColor="text1"/>
                <w:sz w:val="17"/>
                <w:szCs w:val="17"/>
              </w:rPr>
              <w:t xml:space="preserve">ersonal asignado para la atención, operación y ejecución de las funciones del área </w:t>
            </w:r>
            <w:r w:rsidRPr="00BD76FC">
              <w:rPr>
                <w:rFonts w:asciiTheme="majorHAnsi" w:hAnsiTheme="majorHAnsi" w:cstheme="majorHAnsi"/>
                <w:color w:val="000000" w:themeColor="text1"/>
                <w:sz w:val="17"/>
                <w:szCs w:val="17"/>
              </w:rPr>
              <w:t>de Procedimientos</w:t>
            </w:r>
            <w:r w:rsidRPr="00BD76FC">
              <w:rPr>
                <w:rFonts w:asciiTheme="majorHAnsi" w:hAnsiTheme="majorHAnsi" w:cstheme="majorHAnsi"/>
                <w:color w:val="000000" w:themeColor="text1"/>
                <w:sz w:val="17"/>
                <w:szCs w:val="17"/>
              </w:rPr>
              <w:t xml:space="preserve"> y Atención de Asuntos Jurídicos </w:t>
            </w:r>
            <w:r>
              <w:rPr>
                <w:rFonts w:asciiTheme="majorHAnsi" w:hAnsiTheme="majorHAnsi" w:cstheme="majorHAnsi"/>
                <w:color w:val="000000" w:themeColor="text1"/>
                <w:sz w:val="17"/>
                <w:szCs w:val="17"/>
              </w:rPr>
              <w:t xml:space="preserve">y </w:t>
            </w:r>
            <w:r w:rsidRPr="00BD76FC">
              <w:rPr>
                <w:rFonts w:asciiTheme="majorHAnsi" w:hAnsiTheme="majorHAnsi" w:cstheme="majorHAnsi"/>
                <w:color w:val="000000" w:themeColor="text1"/>
                <w:sz w:val="17"/>
                <w:szCs w:val="17"/>
              </w:rPr>
              <w:t>obligaciones de transparencia por incumplimiento de los partidos políticos</w:t>
            </w:r>
            <w:r>
              <w:rPr>
                <w:rFonts w:asciiTheme="majorHAnsi" w:hAnsiTheme="majorHAnsi" w:cstheme="majorHAnsi"/>
                <w:color w:val="000000" w:themeColor="text1"/>
                <w:sz w:val="17"/>
                <w:szCs w:val="17"/>
              </w:rPr>
              <w:t>.</w:t>
            </w:r>
          </w:p>
        </w:tc>
        <w:tc>
          <w:tcPr>
            <w:tcW w:w="1586" w:type="dxa"/>
            <w:shd w:val="clear" w:color="auto" w:fill="E7E6E6" w:themeFill="background2"/>
            <w:vAlign w:val="center"/>
          </w:tcPr>
          <w:p w14:paraId="5F1CBEB4" w14:textId="06946A55" w:rsidR="00BD76FC" w:rsidRDefault="00BD76FC">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Eventuales</w:t>
            </w:r>
          </w:p>
        </w:tc>
      </w:tr>
    </w:tbl>
    <w:p w14:paraId="0B1A2A6B" w14:textId="77777777" w:rsidR="00BC541B" w:rsidRDefault="00BC541B">
      <w:pPr>
        <w:rPr>
          <w:rFonts w:cstheme="minorHAnsi"/>
          <w:b/>
          <w:bCs/>
          <w:color w:val="800000"/>
          <w:sz w:val="24"/>
          <w:szCs w:val="24"/>
        </w:rPr>
        <w:sectPr w:rsidR="00BC541B">
          <w:pgSz w:w="15840" w:h="12240" w:orient="landscape"/>
          <w:pgMar w:top="1701" w:right="1749" w:bottom="1701" w:left="1701" w:header="709" w:footer="709" w:gutter="0"/>
          <w:cols w:space="708"/>
          <w:titlePg/>
          <w:docGrid w:linePitch="360"/>
        </w:sectPr>
      </w:pPr>
    </w:p>
    <w:p w14:paraId="2E4B017F" w14:textId="77777777" w:rsidR="00BC541B" w:rsidRDefault="00BC541B">
      <w:pPr>
        <w:rPr>
          <w:rFonts w:asciiTheme="majorHAnsi" w:hAnsiTheme="majorHAnsi" w:cstheme="majorHAnsi"/>
          <w:b/>
          <w:bCs/>
          <w:color w:val="800000"/>
          <w:sz w:val="24"/>
          <w:szCs w:val="24"/>
        </w:rPr>
      </w:pPr>
    </w:p>
    <w:tbl>
      <w:tblPr>
        <w:tblStyle w:val="Tablaconcuadrcula"/>
        <w:tblpPr w:leftFromText="141" w:rightFromText="141" w:vertAnchor="text" w:horzAnchor="page" w:tblpX="436" w:tblpY="824"/>
        <w:tblW w:w="11335" w:type="dxa"/>
        <w:tblCellMar>
          <w:left w:w="70" w:type="dxa"/>
          <w:right w:w="70" w:type="dxa"/>
        </w:tblCellMar>
        <w:tblLook w:val="04A0" w:firstRow="1" w:lastRow="0" w:firstColumn="1" w:lastColumn="0" w:noHBand="0" w:noVBand="1"/>
      </w:tblPr>
      <w:tblGrid>
        <w:gridCol w:w="2547"/>
        <w:gridCol w:w="3260"/>
        <w:gridCol w:w="1418"/>
        <w:gridCol w:w="4110"/>
      </w:tblGrid>
      <w:tr w:rsidR="00BC541B" w14:paraId="2424E42A" w14:textId="77777777">
        <w:trPr>
          <w:trHeight w:val="240"/>
        </w:trPr>
        <w:tc>
          <w:tcPr>
            <w:tcW w:w="11335" w:type="dxa"/>
            <w:gridSpan w:val="4"/>
            <w:shd w:val="clear" w:color="auto" w:fill="D0CECE" w:themeFill="background2" w:themeFillShade="E6"/>
          </w:tcPr>
          <w:p w14:paraId="0E851FE2" w14:textId="77777777" w:rsidR="00BC541B" w:rsidRDefault="00BC541B">
            <w:pPr>
              <w:spacing w:after="0" w:line="240" w:lineRule="auto"/>
              <w:rPr>
                <w:rFonts w:asciiTheme="majorHAnsi" w:hAnsiTheme="majorHAnsi" w:cstheme="majorHAnsi"/>
                <w:b/>
                <w:bCs/>
                <w:color w:val="000000" w:themeColor="text1"/>
                <w:sz w:val="24"/>
                <w:szCs w:val="24"/>
              </w:rPr>
            </w:pPr>
          </w:p>
        </w:tc>
      </w:tr>
      <w:tr w:rsidR="00BC541B" w14:paraId="24F62CAB" w14:textId="77777777">
        <w:tblPrEx>
          <w:tblCellMar>
            <w:left w:w="108" w:type="dxa"/>
            <w:right w:w="108" w:type="dxa"/>
          </w:tblCellMar>
        </w:tblPrEx>
        <w:trPr>
          <w:trHeight w:val="624"/>
        </w:trPr>
        <w:tc>
          <w:tcPr>
            <w:tcW w:w="2547" w:type="dxa"/>
            <w:shd w:val="clear" w:color="auto" w:fill="D0CECE" w:themeFill="background2" w:themeFillShade="E6"/>
          </w:tcPr>
          <w:p w14:paraId="3651E88A" w14:textId="77777777" w:rsidR="00BC541B" w:rsidRDefault="001277CA">
            <w:pPr>
              <w:spacing w:after="0" w:line="240" w:lineRule="auto"/>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PROGRAMA:</w:t>
            </w:r>
          </w:p>
        </w:tc>
        <w:tc>
          <w:tcPr>
            <w:tcW w:w="8788" w:type="dxa"/>
            <w:gridSpan w:val="3"/>
          </w:tcPr>
          <w:p w14:paraId="7F52C255" w14:textId="085051B5" w:rsidR="00BC541B" w:rsidRDefault="001277CA">
            <w:pPr>
              <w:spacing w:after="0" w:line="240" w:lineRule="auto"/>
              <w:jc w:val="center"/>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PROCESOS ELECTORALES, MECANISMOS DE PARTICIPACIÓN CIUDADANA</w:t>
            </w:r>
            <w:r w:rsidR="00EF6456">
              <w:rPr>
                <w:rFonts w:asciiTheme="majorHAnsi" w:hAnsiTheme="majorHAnsi" w:cstheme="majorHAnsi"/>
                <w:b/>
                <w:bCs/>
                <w:color w:val="000000" w:themeColor="text1"/>
                <w:sz w:val="24"/>
                <w:szCs w:val="24"/>
              </w:rPr>
              <w:t>, TRANSPARENCIA</w:t>
            </w:r>
            <w:r>
              <w:rPr>
                <w:rFonts w:asciiTheme="majorHAnsi" w:hAnsiTheme="majorHAnsi" w:cstheme="majorHAnsi"/>
                <w:b/>
                <w:bCs/>
                <w:color w:val="000000" w:themeColor="text1"/>
                <w:sz w:val="24"/>
                <w:szCs w:val="24"/>
              </w:rPr>
              <w:t xml:space="preserve"> Y MEDIOS DE IMPUGNACIÓN</w:t>
            </w:r>
            <w:r w:rsidR="00EF6456">
              <w:rPr>
                <w:rFonts w:asciiTheme="majorHAnsi" w:hAnsiTheme="majorHAnsi" w:cstheme="majorHAnsi"/>
                <w:b/>
                <w:bCs/>
                <w:color w:val="000000" w:themeColor="text1"/>
                <w:sz w:val="24"/>
                <w:szCs w:val="24"/>
              </w:rPr>
              <w:t>.</w:t>
            </w:r>
          </w:p>
        </w:tc>
      </w:tr>
      <w:tr w:rsidR="00BC541B" w14:paraId="433FCE8F" w14:textId="77777777">
        <w:tblPrEx>
          <w:tblCellMar>
            <w:left w:w="108" w:type="dxa"/>
            <w:right w:w="108" w:type="dxa"/>
          </w:tblCellMar>
        </w:tblPrEx>
        <w:tc>
          <w:tcPr>
            <w:tcW w:w="11335" w:type="dxa"/>
            <w:gridSpan w:val="4"/>
            <w:shd w:val="clear" w:color="auto" w:fill="D0CECE" w:themeFill="background2" w:themeFillShade="E6"/>
          </w:tcPr>
          <w:p w14:paraId="131C6448" w14:textId="77777777" w:rsidR="00BC541B" w:rsidRDefault="00BC541B">
            <w:pPr>
              <w:spacing w:after="0" w:line="240" w:lineRule="auto"/>
              <w:rPr>
                <w:rFonts w:asciiTheme="majorHAnsi" w:hAnsiTheme="majorHAnsi" w:cstheme="majorHAnsi"/>
                <w:color w:val="000000" w:themeColor="text1"/>
                <w:sz w:val="24"/>
                <w:szCs w:val="24"/>
              </w:rPr>
            </w:pPr>
          </w:p>
        </w:tc>
      </w:tr>
      <w:tr w:rsidR="00BC541B" w14:paraId="5B800B74" w14:textId="77777777">
        <w:tblPrEx>
          <w:tblCellMar>
            <w:left w:w="108" w:type="dxa"/>
            <w:right w:w="108" w:type="dxa"/>
          </w:tblCellMar>
        </w:tblPrEx>
        <w:trPr>
          <w:trHeight w:val="737"/>
        </w:trPr>
        <w:tc>
          <w:tcPr>
            <w:tcW w:w="2547" w:type="dxa"/>
            <w:shd w:val="clear" w:color="auto" w:fill="D0CECE" w:themeFill="background2" w:themeFillShade="E6"/>
          </w:tcPr>
          <w:p w14:paraId="01E42AD4" w14:textId="77777777" w:rsidR="00BC541B" w:rsidRDefault="001277CA">
            <w:pPr>
              <w:spacing w:after="0" w:line="240" w:lineRule="auto"/>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PROYECTO ESTRATÉGICO:</w:t>
            </w:r>
          </w:p>
        </w:tc>
        <w:tc>
          <w:tcPr>
            <w:tcW w:w="8788" w:type="dxa"/>
            <w:gridSpan w:val="3"/>
          </w:tcPr>
          <w:p w14:paraId="294BC98E" w14:textId="77777777" w:rsidR="00BC541B" w:rsidRDefault="001277CA">
            <w:pPr>
              <w:spacing w:after="0" w:line="240" w:lineRule="auto"/>
              <w:jc w:val="center"/>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FORTALECIMIENTO DE LA UNIDAD TÉCNICA JURÍDICA Y DE LO CONTENCIOSO ELECTORAL DEL IEEPCO.</w:t>
            </w:r>
          </w:p>
        </w:tc>
      </w:tr>
      <w:tr w:rsidR="00BC541B" w14:paraId="0691C11E" w14:textId="77777777">
        <w:tblPrEx>
          <w:tblCellMar>
            <w:left w:w="108" w:type="dxa"/>
            <w:right w:w="108" w:type="dxa"/>
          </w:tblCellMar>
        </w:tblPrEx>
        <w:tc>
          <w:tcPr>
            <w:tcW w:w="11335" w:type="dxa"/>
            <w:gridSpan w:val="4"/>
            <w:shd w:val="clear" w:color="auto" w:fill="D0CECE" w:themeFill="background2" w:themeFillShade="E6"/>
          </w:tcPr>
          <w:p w14:paraId="5A443AD4" w14:textId="77777777" w:rsidR="00BC541B" w:rsidRDefault="00BC541B">
            <w:pPr>
              <w:spacing w:after="0" w:line="240" w:lineRule="auto"/>
              <w:rPr>
                <w:rFonts w:asciiTheme="majorHAnsi" w:hAnsiTheme="majorHAnsi" w:cstheme="majorHAnsi"/>
                <w:color w:val="000000" w:themeColor="text1"/>
                <w:sz w:val="24"/>
                <w:szCs w:val="24"/>
              </w:rPr>
            </w:pPr>
          </w:p>
        </w:tc>
      </w:tr>
      <w:tr w:rsidR="00BC541B" w14:paraId="1D61C3E1" w14:textId="77777777">
        <w:tblPrEx>
          <w:tblCellMar>
            <w:left w:w="108" w:type="dxa"/>
            <w:right w:w="108" w:type="dxa"/>
          </w:tblCellMar>
        </w:tblPrEx>
        <w:trPr>
          <w:trHeight w:val="567"/>
        </w:trPr>
        <w:tc>
          <w:tcPr>
            <w:tcW w:w="2547" w:type="dxa"/>
            <w:shd w:val="clear" w:color="auto" w:fill="D0CECE" w:themeFill="background2" w:themeFillShade="E6"/>
          </w:tcPr>
          <w:p w14:paraId="20AA572B" w14:textId="77777777" w:rsidR="00BC541B" w:rsidRDefault="001277CA">
            <w:pPr>
              <w:spacing w:after="0" w:line="240" w:lineRule="auto"/>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ÁREA RESPONSABLE:</w:t>
            </w:r>
          </w:p>
        </w:tc>
        <w:tc>
          <w:tcPr>
            <w:tcW w:w="8788" w:type="dxa"/>
            <w:gridSpan w:val="3"/>
          </w:tcPr>
          <w:p w14:paraId="41DEDA19" w14:textId="77777777" w:rsidR="00BC541B" w:rsidRDefault="001277CA">
            <w:pPr>
              <w:spacing w:after="0" w:line="240" w:lineRule="auto"/>
              <w:jc w:val="center"/>
              <w:rPr>
                <w:rFonts w:asciiTheme="majorHAnsi" w:hAnsiTheme="majorHAnsi" w:cstheme="majorHAnsi"/>
                <w:color w:val="000000" w:themeColor="text1"/>
                <w:sz w:val="24"/>
                <w:szCs w:val="24"/>
              </w:rPr>
            </w:pPr>
            <w:r>
              <w:rPr>
                <w:rFonts w:asciiTheme="majorHAnsi" w:hAnsiTheme="majorHAnsi" w:cstheme="majorHAnsi"/>
                <w:b/>
                <w:bCs/>
                <w:color w:val="000000" w:themeColor="text1"/>
                <w:sz w:val="24"/>
                <w:szCs w:val="24"/>
              </w:rPr>
              <w:t>UNIDAD TÉCNICA JURÍDICA Y DE LO CONTENCIOSO ELECTORAL DEL IEEPCO</w:t>
            </w:r>
          </w:p>
        </w:tc>
      </w:tr>
      <w:tr w:rsidR="00BC541B" w14:paraId="1EA63A73" w14:textId="77777777">
        <w:tblPrEx>
          <w:tblCellMar>
            <w:left w:w="108" w:type="dxa"/>
            <w:right w:w="108" w:type="dxa"/>
          </w:tblCellMar>
        </w:tblPrEx>
        <w:tc>
          <w:tcPr>
            <w:tcW w:w="11335" w:type="dxa"/>
            <w:gridSpan w:val="4"/>
            <w:shd w:val="clear" w:color="auto" w:fill="D0CECE" w:themeFill="background2" w:themeFillShade="E6"/>
          </w:tcPr>
          <w:p w14:paraId="4AA45D90" w14:textId="77777777" w:rsidR="00BC541B" w:rsidRDefault="00BC541B">
            <w:pPr>
              <w:spacing w:after="0" w:line="240" w:lineRule="auto"/>
              <w:rPr>
                <w:rFonts w:asciiTheme="majorHAnsi" w:hAnsiTheme="majorHAnsi" w:cstheme="majorHAnsi"/>
                <w:color w:val="000000" w:themeColor="text1"/>
                <w:sz w:val="24"/>
                <w:szCs w:val="24"/>
              </w:rPr>
            </w:pPr>
          </w:p>
        </w:tc>
      </w:tr>
      <w:tr w:rsidR="00BC541B" w14:paraId="22D327FF" w14:textId="77777777">
        <w:tblPrEx>
          <w:tblCellMar>
            <w:left w:w="108" w:type="dxa"/>
            <w:right w:w="108" w:type="dxa"/>
          </w:tblCellMar>
        </w:tblPrEx>
        <w:trPr>
          <w:trHeight w:val="1191"/>
        </w:trPr>
        <w:tc>
          <w:tcPr>
            <w:tcW w:w="2547" w:type="dxa"/>
            <w:shd w:val="clear" w:color="auto" w:fill="D0CECE" w:themeFill="background2" w:themeFillShade="E6"/>
          </w:tcPr>
          <w:p w14:paraId="6A1D1F26" w14:textId="77777777" w:rsidR="00BC541B" w:rsidRDefault="001277CA">
            <w:pPr>
              <w:spacing w:after="0" w:line="240" w:lineRule="auto"/>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POBLACIÓN POTENCIAL:</w:t>
            </w:r>
          </w:p>
        </w:tc>
        <w:tc>
          <w:tcPr>
            <w:tcW w:w="3260" w:type="dxa"/>
          </w:tcPr>
          <w:p w14:paraId="7A40D8AE" w14:textId="77777777" w:rsidR="00BC541B" w:rsidRDefault="001277CA">
            <w:pPr>
              <w:spacing w:after="0" w:line="240" w:lineRule="auto"/>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Población de los 570 municipios del Estado. </w:t>
            </w:r>
          </w:p>
        </w:tc>
        <w:tc>
          <w:tcPr>
            <w:tcW w:w="1418" w:type="dxa"/>
            <w:shd w:val="clear" w:color="auto" w:fill="D0CECE" w:themeFill="background2" w:themeFillShade="E6"/>
          </w:tcPr>
          <w:p w14:paraId="24C59049" w14:textId="77777777" w:rsidR="00BC541B" w:rsidRDefault="001277CA">
            <w:pPr>
              <w:spacing w:after="0" w:line="240" w:lineRule="auto"/>
              <w:rPr>
                <w:rFonts w:asciiTheme="majorHAnsi" w:hAnsiTheme="majorHAnsi" w:cstheme="majorHAnsi"/>
                <w:b/>
                <w:bCs/>
                <w:color w:val="000000" w:themeColor="text1"/>
                <w:sz w:val="24"/>
                <w:szCs w:val="24"/>
              </w:rPr>
            </w:pPr>
            <w:r>
              <w:rPr>
                <w:rFonts w:asciiTheme="majorHAnsi" w:hAnsiTheme="majorHAnsi" w:cstheme="majorHAnsi"/>
                <w:b/>
                <w:bCs/>
                <w:color w:val="000000" w:themeColor="text1"/>
                <w:sz w:val="24"/>
                <w:szCs w:val="24"/>
              </w:rPr>
              <w:t>POBLACIÓN OBJETIVO:</w:t>
            </w:r>
          </w:p>
        </w:tc>
        <w:tc>
          <w:tcPr>
            <w:tcW w:w="4110" w:type="dxa"/>
          </w:tcPr>
          <w:p w14:paraId="4A3D0AC6" w14:textId="77777777" w:rsidR="00BC541B" w:rsidRDefault="001277CA">
            <w:pPr>
              <w:spacing w:after="0" w:line="240" w:lineRule="auto"/>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Propietarios y suplentes integrantes del Congreso del Estado, los ayuntamientos, las agencias municipales y candidaturas a ocupar esos cargos.</w:t>
            </w:r>
          </w:p>
        </w:tc>
      </w:tr>
      <w:tr w:rsidR="00BC541B" w14:paraId="61C97538" w14:textId="77777777">
        <w:tblPrEx>
          <w:tblCellMar>
            <w:left w:w="108" w:type="dxa"/>
            <w:right w:w="108" w:type="dxa"/>
          </w:tblCellMar>
        </w:tblPrEx>
        <w:tc>
          <w:tcPr>
            <w:tcW w:w="11335" w:type="dxa"/>
            <w:gridSpan w:val="4"/>
            <w:shd w:val="clear" w:color="auto" w:fill="D0CECE" w:themeFill="background2" w:themeFillShade="E6"/>
          </w:tcPr>
          <w:p w14:paraId="19B221DA" w14:textId="77777777" w:rsidR="00BC541B" w:rsidRDefault="00BC541B">
            <w:pPr>
              <w:spacing w:after="0" w:line="240" w:lineRule="auto"/>
              <w:rPr>
                <w:rFonts w:asciiTheme="majorHAnsi" w:hAnsiTheme="majorHAnsi" w:cstheme="majorHAnsi"/>
                <w:color w:val="000000" w:themeColor="text1"/>
                <w:sz w:val="24"/>
                <w:szCs w:val="24"/>
              </w:rPr>
            </w:pPr>
          </w:p>
        </w:tc>
      </w:tr>
    </w:tbl>
    <w:p w14:paraId="08A2DB0F" w14:textId="77777777" w:rsidR="00BC541B" w:rsidRDefault="001277CA">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PROGRAMACIÓN DE ACTIVIDADES</w:t>
      </w:r>
    </w:p>
    <w:p w14:paraId="6ABA8FA2" w14:textId="77777777" w:rsidR="00BC541B" w:rsidRDefault="00BC541B">
      <w:pPr>
        <w:rPr>
          <w:rFonts w:asciiTheme="majorHAnsi" w:hAnsiTheme="majorHAnsi" w:cstheme="majorHAnsi"/>
          <w:color w:val="000000" w:themeColor="text1"/>
          <w:sz w:val="2"/>
          <w:szCs w:val="2"/>
        </w:rPr>
      </w:pPr>
    </w:p>
    <w:p w14:paraId="12253B1B" w14:textId="77777777" w:rsidR="00BC541B" w:rsidRDefault="00BC541B">
      <w:pPr>
        <w:rPr>
          <w:rFonts w:asciiTheme="majorHAnsi" w:hAnsiTheme="majorHAnsi" w:cstheme="majorHAnsi"/>
          <w:color w:val="000000" w:themeColor="text1"/>
          <w:sz w:val="2"/>
          <w:szCs w:val="2"/>
        </w:rPr>
      </w:pPr>
    </w:p>
    <w:tbl>
      <w:tblPr>
        <w:tblStyle w:val="Tablaconcuadrcula"/>
        <w:tblpPr w:leftFromText="141" w:rightFromText="141" w:vertAnchor="text" w:horzAnchor="margin" w:tblpXSpec="center" w:tblpY="4"/>
        <w:tblW w:w="11326" w:type="dxa"/>
        <w:tblLook w:val="04A0" w:firstRow="1" w:lastRow="0" w:firstColumn="1" w:lastColumn="0" w:noHBand="0" w:noVBand="1"/>
      </w:tblPr>
      <w:tblGrid>
        <w:gridCol w:w="1290"/>
        <w:gridCol w:w="1900"/>
        <w:gridCol w:w="1837"/>
        <w:gridCol w:w="638"/>
        <w:gridCol w:w="638"/>
        <w:gridCol w:w="638"/>
        <w:gridCol w:w="638"/>
        <w:gridCol w:w="2097"/>
        <w:gridCol w:w="1650"/>
      </w:tblGrid>
      <w:tr w:rsidR="00BC541B" w14:paraId="220A215F" w14:textId="77777777">
        <w:tc>
          <w:tcPr>
            <w:tcW w:w="1289" w:type="dxa"/>
            <w:vMerge w:val="restart"/>
            <w:shd w:val="clear" w:color="auto" w:fill="800000"/>
            <w:vAlign w:val="center"/>
          </w:tcPr>
          <w:p w14:paraId="39593AF3"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OBJETIVO</w:t>
            </w:r>
          </w:p>
        </w:tc>
        <w:tc>
          <w:tcPr>
            <w:tcW w:w="1901" w:type="dxa"/>
            <w:vMerge w:val="restart"/>
            <w:shd w:val="clear" w:color="auto" w:fill="800000"/>
            <w:vAlign w:val="center"/>
          </w:tcPr>
          <w:p w14:paraId="2F374256"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ACTIVIDAD</w:t>
            </w:r>
          </w:p>
        </w:tc>
        <w:tc>
          <w:tcPr>
            <w:tcW w:w="1837" w:type="dxa"/>
            <w:vMerge w:val="restart"/>
            <w:shd w:val="clear" w:color="auto" w:fill="800000"/>
            <w:vAlign w:val="center"/>
          </w:tcPr>
          <w:p w14:paraId="75F8B0B6"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INDICADOR</w:t>
            </w:r>
          </w:p>
        </w:tc>
        <w:tc>
          <w:tcPr>
            <w:tcW w:w="2552" w:type="dxa"/>
            <w:gridSpan w:val="4"/>
            <w:shd w:val="clear" w:color="auto" w:fill="800000"/>
            <w:vAlign w:val="center"/>
          </w:tcPr>
          <w:p w14:paraId="60A01D4B"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METAS</w:t>
            </w:r>
          </w:p>
        </w:tc>
        <w:tc>
          <w:tcPr>
            <w:tcW w:w="2097" w:type="dxa"/>
            <w:vMerge w:val="restart"/>
            <w:shd w:val="clear" w:color="auto" w:fill="800000"/>
            <w:vAlign w:val="center"/>
          </w:tcPr>
          <w:p w14:paraId="7990A4BA"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MEDIOS DE VERIFICACIÓN</w:t>
            </w:r>
          </w:p>
        </w:tc>
        <w:tc>
          <w:tcPr>
            <w:tcW w:w="1650" w:type="dxa"/>
            <w:vMerge w:val="restart"/>
            <w:shd w:val="clear" w:color="auto" w:fill="800000"/>
            <w:vAlign w:val="center"/>
          </w:tcPr>
          <w:p w14:paraId="3D0C75A5"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RIESGOS</w:t>
            </w:r>
          </w:p>
        </w:tc>
      </w:tr>
      <w:tr w:rsidR="00BC541B" w14:paraId="3801BED3" w14:textId="77777777">
        <w:tc>
          <w:tcPr>
            <w:tcW w:w="1289" w:type="dxa"/>
            <w:vMerge/>
            <w:vAlign w:val="center"/>
          </w:tcPr>
          <w:p w14:paraId="79AEF899" w14:textId="77777777" w:rsidR="00BC541B" w:rsidRDefault="00BC541B">
            <w:pPr>
              <w:spacing w:after="0" w:line="240" w:lineRule="auto"/>
              <w:jc w:val="center"/>
              <w:rPr>
                <w:rFonts w:asciiTheme="majorHAnsi" w:hAnsiTheme="majorHAnsi" w:cstheme="majorHAnsi"/>
                <w:color w:val="000000" w:themeColor="text1"/>
                <w:sz w:val="20"/>
                <w:szCs w:val="20"/>
              </w:rPr>
            </w:pPr>
          </w:p>
        </w:tc>
        <w:tc>
          <w:tcPr>
            <w:tcW w:w="1901" w:type="dxa"/>
            <w:vMerge/>
            <w:vAlign w:val="center"/>
          </w:tcPr>
          <w:p w14:paraId="48840389" w14:textId="77777777" w:rsidR="00BC541B" w:rsidRDefault="00BC541B">
            <w:pPr>
              <w:spacing w:after="0" w:line="240" w:lineRule="auto"/>
              <w:jc w:val="center"/>
              <w:rPr>
                <w:rFonts w:asciiTheme="majorHAnsi" w:hAnsiTheme="majorHAnsi" w:cstheme="majorHAnsi"/>
                <w:color w:val="000000" w:themeColor="text1"/>
                <w:sz w:val="20"/>
                <w:szCs w:val="20"/>
              </w:rPr>
            </w:pPr>
          </w:p>
        </w:tc>
        <w:tc>
          <w:tcPr>
            <w:tcW w:w="1837" w:type="dxa"/>
            <w:vMerge/>
            <w:vAlign w:val="center"/>
          </w:tcPr>
          <w:p w14:paraId="0B8885A6" w14:textId="77777777" w:rsidR="00BC541B" w:rsidRDefault="00BC541B">
            <w:pPr>
              <w:spacing w:after="0" w:line="240" w:lineRule="auto"/>
              <w:jc w:val="center"/>
              <w:rPr>
                <w:rFonts w:asciiTheme="majorHAnsi" w:hAnsiTheme="majorHAnsi" w:cstheme="majorHAnsi"/>
                <w:color w:val="000000" w:themeColor="text1"/>
                <w:sz w:val="20"/>
                <w:szCs w:val="20"/>
              </w:rPr>
            </w:pPr>
          </w:p>
        </w:tc>
        <w:tc>
          <w:tcPr>
            <w:tcW w:w="638" w:type="dxa"/>
            <w:shd w:val="clear" w:color="auto" w:fill="800000"/>
            <w:vAlign w:val="center"/>
          </w:tcPr>
          <w:p w14:paraId="0F7BF3D8"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1° TRIM</w:t>
            </w:r>
          </w:p>
        </w:tc>
        <w:tc>
          <w:tcPr>
            <w:tcW w:w="638" w:type="dxa"/>
            <w:shd w:val="clear" w:color="auto" w:fill="800000"/>
            <w:vAlign w:val="center"/>
          </w:tcPr>
          <w:p w14:paraId="21466456"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2° TRIM</w:t>
            </w:r>
          </w:p>
        </w:tc>
        <w:tc>
          <w:tcPr>
            <w:tcW w:w="638" w:type="dxa"/>
            <w:shd w:val="clear" w:color="auto" w:fill="800000"/>
            <w:vAlign w:val="center"/>
          </w:tcPr>
          <w:p w14:paraId="2483F9EE"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3° TRIM</w:t>
            </w:r>
          </w:p>
        </w:tc>
        <w:tc>
          <w:tcPr>
            <w:tcW w:w="638" w:type="dxa"/>
            <w:shd w:val="clear" w:color="auto" w:fill="800000"/>
            <w:vAlign w:val="center"/>
          </w:tcPr>
          <w:p w14:paraId="7617EC42" w14:textId="77777777" w:rsidR="00BC541B" w:rsidRDefault="001277CA">
            <w:pPr>
              <w:spacing w:after="0" w:line="240" w:lineRule="auto"/>
              <w:jc w:val="center"/>
              <w:rPr>
                <w:rFonts w:asciiTheme="majorHAnsi" w:hAnsiTheme="majorHAnsi" w:cstheme="majorHAnsi"/>
                <w:b/>
                <w:bCs/>
                <w:color w:val="FFFFFF" w:themeColor="background1"/>
                <w:sz w:val="20"/>
                <w:szCs w:val="20"/>
              </w:rPr>
            </w:pPr>
            <w:r>
              <w:rPr>
                <w:rFonts w:asciiTheme="majorHAnsi" w:hAnsiTheme="majorHAnsi" w:cstheme="majorHAnsi"/>
                <w:b/>
                <w:bCs/>
                <w:color w:val="FFFFFF" w:themeColor="background1"/>
                <w:sz w:val="20"/>
                <w:szCs w:val="20"/>
              </w:rPr>
              <w:t>4° TRIM</w:t>
            </w:r>
          </w:p>
        </w:tc>
        <w:tc>
          <w:tcPr>
            <w:tcW w:w="2097" w:type="dxa"/>
            <w:vMerge/>
            <w:vAlign w:val="center"/>
          </w:tcPr>
          <w:p w14:paraId="0ECFA727" w14:textId="77777777" w:rsidR="00BC541B" w:rsidRDefault="00BC541B">
            <w:pPr>
              <w:spacing w:after="0" w:line="240" w:lineRule="auto"/>
              <w:jc w:val="center"/>
              <w:rPr>
                <w:rFonts w:asciiTheme="majorHAnsi" w:hAnsiTheme="majorHAnsi" w:cstheme="majorHAnsi"/>
                <w:color w:val="000000" w:themeColor="text1"/>
                <w:sz w:val="20"/>
                <w:szCs w:val="20"/>
              </w:rPr>
            </w:pPr>
          </w:p>
        </w:tc>
        <w:tc>
          <w:tcPr>
            <w:tcW w:w="1650" w:type="dxa"/>
            <w:vMerge/>
            <w:vAlign w:val="center"/>
          </w:tcPr>
          <w:p w14:paraId="4F4C2A5B" w14:textId="77777777" w:rsidR="00BC541B" w:rsidRDefault="00BC541B">
            <w:pPr>
              <w:spacing w:after="0" w:line="240" w:lineRule="auto"/>
              <w:jc w:val="center"/>
              <w:rPr>
                <w:rFonts w:asciiTheme="majorHAnsi" w:hAnsiTheme="majorHAnsi" w:cstheme="majorHAnsi"/>
                <w:color w:val="000000" w:themeColor="text1"/>
                <w:sz w:val="20"/>
                <w:szCs w:val="20"/>
              </w:rPr>
            </w:pPr>
          </w:p>
        </w:tc>
      </w:tr>
      <w:tr w:rsidR="00BC541B" w14:paraId="18F14FE9" w14:textId="77777777">
        <w:trPr>
          <w:trHeight w:val="454"/>
        </w:trPr>
        <w:tc>
          <w:tcPr>
            <w:tcW w:w="1289" w:type="dxa"/>
            <w:vAlign w:val="center"/>
          </w:tcPr>
          <w:p w14:paraId="36026F5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Sustanciar los procedimientos sancionadores.</w:t>
            </w:r>
          </w:p>
        </w:tc>
        <w:tc>
          <w:tcPr>
            <w:tcW w:w="1901" w:type="dxa"/>
            <w:vAlign w:val="center"/>
          </w:tcPr>
          <w:p w14:paraId="1676D39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Instruir los expedientes que le corresponde a la Unidad Técnica Jurídica y Contencioso Electoral </w:t>
            </w:r>
          </w:p>
        </w:tc>
        <w:tc>
          <w:tcPr>
            <w:tcW w:w="1837" w:type="dxa"/>
            <w:vAlign w:val="center"/>
          </w:tcPr>
          <w:p w14:paraId="679F55E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Promedio del número de expedientes iniciados en el año previo a la elección ordinaria inmediata anterior (170).</w:t>
            </w:r>
          </w:p>
        </w:tc>
        <w:tc>
          <w:tcPr>
            <w:tcW w:w="638" w:type="dxa"/>
            <w:vAlign w:val="center"/>
          </w:tcPr>
          <w:p w14:paraId="66AEDB1A"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43</w:t>
            </w:r>
          </w:p>
        </w:tc>
        <w:tc>
          <w:tcPr>
            <w:tcW w:w="638" w:type="dxa"/>
            <w:vAlign w:val="center"/>
          </w:tcPr>
          <w:p w14:paraId="5D18550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43</w:t>
            </w:r>
          </w:p>
        </w:tc>
        <w:tc>
          <w:tcPr>
            <w:tcW w:w="638" w:type="dxa"/>
            <w:vAlign w:val="center"/>
          </w:tcPr>
          <w:p w14:paraId="0982CC8E"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43</w:t>
            </w:r>
          </w:p>
        </w:tc>
        <w:tc>
          <w:tcPr>
            <w:tcW w:w="638" w:type="dxa"/>
            <w:vAlign w:val="center"/>
          </w:tcPr>
          <w:p w14:paraId="79EE2359"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43</w:t>
            </w:r>
          </w:p>
        </w:tc>
        <w:tc>
          <w:tcPr>
            <w:tcW w:w="2097" w:type="dxa"/>
            <w:vAlign w:val="center"/>
          </w:tcPr>
          <w:p w14:paraId="3FCEFD4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Información que se encuentra en los expedientes y en la base de datos de control de expedientes en resguardo de la Unidad Técnica Jurídica y de lo Contencioso Electoral del IEEPCO.</w:t>
            </w:r>
          </w:p>
        </w:tc>
        <w:tc>
          <w:tcPr>
            <w:tcW w:w="1650" w:type="dxa"/>
            <w:vAlign w:val="center"/>
          </w:tcPr>
          <w:p w14:paraId="02D74EA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No contar con el personal necesario para el trámite de los expedientes, y por ello incurrir en retrasos en la instrucción de los procedimientos.</w:t>
            </w:r>
          </w:p>
        </w:tc>
      </w:tr>
      <w:tr w:rsidR="00BC541B" w14:paraId="333C9423" w14:textId="77777777">
        <w:trPr>
          <w:trHeight w:val="454"/>
        </w:trPr>
        <w:tc>
          <w:tcPr>
            <w:tcW w:w="1289" w:type="dxa"/>
            <w:vAlign w:val="center"/>
          </w:tcPr>
          <w:p w14:paraId="7C935F0E"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Sustanciar los procedimientos sancionadores.</w:t>
            </w:r>
          </w:p>
        </w:tc>
        <w:tc>
          <w:tcPr>
            <w:tcW w:w="1901" w:type="dxa"/>
            <w:vAlign w:val="center"/>
          </w:tcPr>
          <w:p w14:paraId="3CB2A2E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Práctica de notificaciones a autoridades y promoventes o denunciados, así como emplazamientos realizados a presuntos infractores en todo el Estado.</w:t>
            </w:r>
          </w:p>
        </w:tc>
        <w:tc>
          <w:tcPr>
            <w:tcW w:w="1837" w:type="dxa"/>
            <w:vAlign w:val="center"/>
          </w:tcPr>
          <w:p w14:paraId="2C1F8940"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Histórico del número de comisiones en la zona capital y fuera de ella realizadas en el primer trimestre de 2025. </w:t>
            </w:r>
          </w:p>
        </w:tc>
        <w:tc>
          <w:tcPr>
            <w:tcW w:w="638" w:type="dxa"/>
            <w:vAlign w:val="center"/>
          </w:tcPr>
          <w:p w14:paraId="50E12B39"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122</w:t>
            </w:r>
          </w:p>
        </w:tc>
        <w:tc>
          <w:tcPr>
            <w:tcW w:w="638" w:type="dxa"/>
            <w:vAlign w:val="center"/>
          </w:tcPr>
          <w:p w14:paraId="694414C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122</w:t>
            </w:r>
          </w:p>
        </w:tc>
        <w:tc>
          <w:tcPr>
            <w:tcW w:w="638" w:type="dxa"/>
            <w:vAlign w:val="center"/>
          </w:tcPr>
          <w:p w14:paraId="73DE05C9"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122</w:t>
            </w:r>
          </w:p>
        </w:tc>
        <w:tc>
          <w:tcPr>
            <w:tcW w:w="638" w:type="dxa"/>
            <w:vAlign w:val="center"/>
          </w:tcPr>
          <w:p w14:paraId="2790D4A6"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122</w:t>
            </w:r>
          </w:p>
        </w:tc>
        <w:tc>
          <w:tcPr>
            <w:tcW w:w="2097" w:type="dxa"/>
            <w:vAlign w:val="center"/>
          </w:tcPr>
          <w:p w14:paraId="7A3ABC0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Información que se encuentra en los expedientes y el histórico de oficios remitidos para la solicitud de viáticos y automóvil.</w:t>
            </w:r>
          </w:p>
        </w:tc>
        <w:tc>
          <w:tcPr>
            <w:tcW w:w="1650" w:type="dxa"/>
            <w:vAlign w:val="center"/>
          </w:tcPr>
          <w:p w14:paraId="3A4CE6B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Por cuestiones ajenas al personal, no ejecutarse las notificaciones o emplazamientos en virtud de que la autoridad o persona buscada no se encuentre o haya algún otro impedimento que permita el ingreso al lugar para la práctica de notificación.</w:t>
            </w:r>
          </w:p>
        </w:tc>
      </w:tr>
      <w:tr w:rsidR="00BC541B" w14:paraId="1781DD60" w14:textId="77777777">
        <w:trPr>
          <w:trHeight w:val="454"/>
        </w:trPr>
        <w:tc>
          <w:tcPr>
            <w:tcW w:w="1289" w:type="dxa"/>
            <w:vAlign w:val="center"/>
          </w:tcPr>
          <w:p w14:paraId="55E4CA6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Sustanciar los procedimientos sancionadores.</w:t>
            </w:r>
          </w:p>
        </w:tc>
        <w:tc>
          <w:tcPr>
            <w:tcW w:w="1901" w:type="dxa"/>
            <w:vAlign w:val="center"/>
          </w:tcPr>
          <w:p w14:paraId="45361176"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Elaboración de los oficios necesarios para el trámite de las diligencias </w:t>
            </w:r>
            <w:r>
              <w:rPr>
                <w:rFonts w:asciiTheme="majorHAnsi" w:hAnsiTheme="majorHAnsi" w:cstheme="majorHAnsi"/>
                <w:color w:val="000000" w:themeColor="text1"/>
                <w:sz w:val="17"/>
                <w:szCs w:val="17"/>
              </w:rPr>
              <w:lastRenderedPageBreak/>
              <w:t xml:space="preserve">ordenadas por la comisión </w:t>
            </w:r>
          </w:p>
        </w:tc>
        <w:tc>
          <w:tcPr>
            <w:tcW w:w="1837" w:type="dxa"/>
            <w:vAlign w:val="center"/>
          </w:tcPr>
          <w:p w14:paraId="4648A43F" w14:textId="77777777" w:rsidR="00BC541B" w:rsidRDefault="001277CA">
            <w:pPr>
              <w:spacing w:after="0" w:line="240" w:lineRule="auto"/>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Histórico según el número de oficios realizados en el primer trimestre del 2025. </w:t>
            </w:r>
          </w:p>
        </w:tc>
        <w:tc>
          <w:tcPr>
            <w:tcW w:w="638" w:type="dxa"/>
            <w:vAlign w:val="center"/>
          </w:tcPr>
          <w:p w14:paraId="6BD1F08E"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542</w:t>
            </w:r>
          </w:p>
        </w:tc>
        <w:tc>
          <w:tcPr>
            <w:tcW w:w="638" w:type="dxa"/>
            <w:vAlign w:val="center"/>
          </w:tcPr>
          <w:p w14:paraId="70067876"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542</w:t>
            </w:r>
          </w:p>
        </w:tc>
        <w:tc>
          <w:tcPr>
            <w:tcW w:w="638" w:type="dxa"/>
            <w:vAlign w:val="center"/>
          </w:tcPr>
          <w:p w14:paraId="434830E4"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542</w:t>
            </w:r>
          </w:p>
        </w:tc>
        <w:tc>
          <w:tcPr>
            <w:tcW w:w="638" w:type="dxa"/>
            <w:vAlign w:val="center"/>
          </w:tcPr>
          <w:p w14:paraId="43887591"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542</w:t>
            </w:r>
          </w:p>
        </w:tc>
        <w:tc>
          <w:tcPr>
            <w:tcW w:w="2097" w:type="dxa"/>
            <w:vAlign w:val="center"/>
          </w:tcPr>
          <w:p w14:paraId="6513143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Información que se encuentra en los expedientes y en la base de datos de control de oficios </w:t>
            </w:r>
            <w:r>
              <w:rPr>
                <w:rFonts w:asciiTheme="majorHAnsi" w:hAnsiTheme="majorHAnsi" w:cstheme="majorHAnsi"/>
                <w:color w:val="000000" w:themeColor="text1"/>
                <w:sz w:val="17"/>
                <w:szCs w:val="17"/>
              </w:rPr>
              <w:lastRenderedPageBreak/>
              <w:t>en resguardo de la Unidad Técnica Jurídica y de lo Contencioso Electoral del IEEPCO.</w:t>
            </w:r>
          </w:p>
        </w:tc>
        <w:tc>
          <w:tcPr>
            <w:tcW w:w="1650" w:type="dxa"/>
            <w:vAlign w:val="center"/>
          </w:tcPr>
          <w:p w14:paraId="27FC5CD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No contar con el personal necesario para la elaboración de oficios</w:t>
            </w:r>
          </w:p>
        </w:tc>
      </w:tr>
      <w:tr w:rsidR="00BC541B" w14:paraId="5AE42610" w14:textId="77777777">
        <w:trPr>
          <w:trHeight w:val="454"/>
        </w:trPr>
        <w:tc>
          <w:tcPr>
            <w:tcW w:w="1289" w:type="dxa"/>
            <w:vAlign w:val="center"/>
          </w:tcPr>
          <w:p w14:paraId="360BD463"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Sustanciar los procedimientos sancionadores.</w:t>
            </w:r>
          </w:p>
        </w:tc>
        <w:tc>
          <w:tcPr>
            <w:tcW w:w="1901" w:type="dxa"/>
            <w:vAlign w:val="center"/>
          </w:tcPr>
          <w:p w14:paraId="7EDFB35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Actividades de fotocopiado o digitalización de información que obra en los expedientes, para su notificación a los denunciados y promoventes, como parte del trámite de los asuntos del índice de la Comisión de Quejas y Denuncias.</w:t>
            </w:r>
          </w:p>
        </w:tc>
        <w:tc>
          <w:tcPr>
            <w:tcW w:w="1837" w:type="dxa"/>
            <w:vAlign w:val="center"/>
          </w:tcPr>
          <w:p w14:paraId="66F0784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Promedio del histórico de número de expedientes con la clave PES, del año previo a la elección ordinaria inmediata anterior (33), más los POS que se emplazaron durante el año 2025 (5).</w:t>
            </w:r>
          </w:p>
        </w:tc>
        <w:tc>
          <w:tcPr>
            <w:tcW w:w="638" w:type="dxa"/>
            <w:vAlign w:val="center"/>
          </w:tcPr>
          <w:p w14:paraId="32435446"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13</w:t>
            </w:r>
          </w:p>
        </w:tc>
        <w:tc>
          <w:tcPr>
            <w:tcW w:w="638" w:type="dxa"/>
            <w:vAlign w:val="center"/>
          </w:tcPr>
          <w:p w14:paraId="5C04CD68"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13</w:t>
            </w:r>
          </w:p>
        </w:tc>
        <w:tc>
          <w:tcPr>
            <w:tcW w:w="638" w:type="dxa"/>
            <w:vAlign w:val="center"/>
          </w:tcPr>
          <w:p w14:paraId="3F48EFAA"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13</w:t>
            </w:r>
          </w:p>
        </w:tc>
        <w:tc>
          <w:tcPr>
            <w:tcW w:w="638" w:type="dxa"/>
            <w:vAlign w:val="center"/>
          </w:tcPr>
          <w:p w14:paraId="6C1F2146"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13</w:t>
            </w:r>
          </w:p>
        </w:tc>
        <w:tc>
          <w:tcPr>
            <w:tcW w:w="2097" w:type="dxa"/>
            <w:vAlign w:val="center"/>
          </w:tcPr>
          <w:p w14:paraId="014C7671"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Información que se encuentra en los expedientes y en la base de datos de control de expedientes </w:t>
            </w:r>
            <w:proofErr w:type="gramStart"/>
            <w:r>
              <w:rPr>
                <w:rFonts w:asciiTheme="majorHAnsi" w:hAnsiTheme="majorHAnsi" w:cstheme="majorHAnsi"/>
                <w:color w:val="000000" w:themeColor="text1"/>
                <w:sz w:val="17"/>
                <w:szCs w:val="17"/>
              </w:rPr>
              <w:t>en  resguardo</w:t>
            </w:r>
            <w:proofErr w:type="gramEnd"/>
            <w:r>
              <w:rPr>
                <w:rFonts w:asciiTheme="majorHAnsi" w:hAnsiTheme="majorHAnsi" w:cstheme="majorHAnsi"/>
                <w:color w:val="000000" w:themeColor="text1"/>
                <w:sz w:val="17"/>
                <w:szCs w:val="17"/>
              </w:rPr>
              <w:t xml:space="preserve"> de la Unidad Técnica Jurídica y de lo Contencioso Electoral del IEEPCO.</w:t>
            </w:r>
          </w:p>
        </w:tc>
        <w:tc>
          <w:tcPr>
            <w:tcW w:w="1650" w:type="dxa"/>
            <w:vAlign w:val="center"/>
          </w:tcPr>
          <w:p w14:paraId="6D6871D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No contar con el personal necesario para realizar esta actividad y distraer de otros asuntos a los </w:t>
            </w:r>
            <w:proofErr w:type="gramStart"/>
            <w:r>
              <w:rPr>
                <w:rFonts w:asciiTheme="majorHAnsi" w:hAnsiTheme="majorHAnsi" w:cstheme="majorHAnsi"/>
                <w:color w:val="000000" w:themeColor="text1"/>
                <w:sz w:val="17"/>
                <w:szCs w:val="17"/>
              </w:rPr>
              <w:t>proyectistas,  para</w:t>
            </w:r>
            <w:proofErr w:type="gramEnd"/>
            <w:r>
              <w:rPr>
                <w:rFonts w:asciiTheme="majorHAnsi" w:hAnsiTheme="majorHAnsi" w:cstheme="majorHAnsi"/>
                <w:color w:val="000000" w:themeColor="text1"/>
                <w:sz w:val="17"/>
                <w:szCs w:val="17"/>
              </w:rPr>
              <w:t xml:space="preserve"> su realización.</w:t>
            </w:r>
          </w:p>
        </w:tc>
      </w:tr>
      <w:tr w:rsidR="000739BB" w14:paraId="69F031F2" w14:textId="77777777">
        <w:trPr>
          <w:trHeight w:val="454"/>
        </w:trPr>
        <w:tc>
          <w:tcPr>
            <w:tcW w:w="1289" w:type="dxa"/>
            <w:vAlign w:val="center"/>
          </w:tcPr>
          <w:p w14:paraId="198B6FBA" w14:textId="7570E3EB" w:rsidR="000739BB" w:rsidRDefault="000739BB">
            <w:pPr>
              <w:spacing w:after="0" w:line="240" w:lineRule="auto"/>
              <w:jc w:val="both"/>
              <w:rPr>
                <w:rFonts w:asciiTheme="majorHAnsi" w:hAnsiTheme="majorHAnsi" w:cstheme="majorHAnsi"/>
                <w:color w:val="000000" w:themeColor="text1"/>
                <w:sz w:val="17"/>
                <w:szCs w:val="17"/>
              </w:rPr>
            </w:pPr>
            <w:bookmarkStart w:id="2" w:name="_Hlk212484974"/>
            <w:r>
              <w:rPr>
                <w:rFonts w:asciiTheme="majorHAnsi" w:hAnsiTheme="majorHAnsi" w:cstheme="majorHAnsi"/>
                <w:color w:val="000000" w:themeColor="text1"/>
                <w:sz w:val="17"/>
                <w:szCs w:val="17"/>
              </w:rPr>
              <w:t>Sustanciar los procedimientos por incumplimiento de obligaciones en materia de transparencia.</w:t>
            </w:r>
          </w:p>
        </w:tc>
        <w:tc>
          <w:tcPr>
            <w:tcW w:w="1901" w:type="dxa"/>
            <w:vAlign w:val="center"/>
          </w:tcPr>
          <w:p w14:paraId="1549FB8E" w14:textId="28A04A40" w:rsidR="000739BB" w:rsidRDefault="000739BB">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Instruir los expedientes que le corresponde a la Unidad Técnica Jurídica y Contencioso Electoral con motivo de incumplimiento de obligaciones de transparencia de los Partidos Políticos. </w:t>
            </w:r>
          </w:p>
        </w:tc>
        <w:tc>
          <w:tcPr>
            <w:tcW w:w="1837" w:type="dxa"/>
            <w:vAlign w:val="center"/>
          </w:tcPr>
          <w:p w14:paraId="524426EA" w14:textId="4866EC8C" w:rsidR="000739BB" w:rsidRDefault="00755622">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Histórico de expedientes iniciados con motivo de incumplimiento de obligaciones en materia de transparencia en el año 2025. (5)</w:t>
            </w:r>
          </w:p>
        </w:tc>
        <w:tc>
          <w:tcPr>
            <w:tcW w:w="638" w:type="dxa"/>
            <w:vAlign w:val="center"/>
          </w:tcPr>
          <w:p w14:paraId="1B95BEEB" w14:textId="6D1A7E84" w:rsidR="000739BB" w:rsidRDefault="00755622">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1.25</w:t>
            </w:r>
          </w:p>
        </w:tc>
        <w:tc>
          <w:tcPr>
            <w:tcW w:w="638" w:type="dxa"/>
            <w:vAlign w:val="center"/>
          </w:tcPr>
          <w:p w14:paraId="5ACA0407" w14:textId="3E009F4C" w:rsidR="000739BB" w:rsidRDefault="00755622">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1.25</w:t>
            </w:r>
          </w:p>
        </w:tc>
        <w:tc>
          <w:tcPr>
            <w:tcW w:w="638" w:type="dxa"/>
            <w:vAlign w:val="center"/>
          </w:tcPr>
          <w:p w14:paraId="13096566" w14:textId="0A9B7CC3" w:rsidR="000739BB" w:rsidRDefault="00755622">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1.25</w:t>
            </w:r>
          </w:p>
        </w:tc>
        <w:tc>
          <w:tcPr>
            <w:tcW w:w="638" w:type="dxa"/>
            <w:vAlign w:val="center"/>
          </w:tcPr>
          <w:p w14:paraId="6A83C043" w14:textId="1FDB0827" w:rsidR="000739BB" w:rsidRDefault="00755622">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1.25</w:t>
            </w:r>
          </w:p>
        </w:tc>
        <w:tc>
          <w:tcPr>
            <w:tcW w:w="2097" w:type="dxa"/>
            <w:vAlign w:val="center"/>
          </w:tcPr>
          <w:p w14:paraId="5B73ABBF" w14:textId="00CEECB4" w:rsidR="000739BB" w:rsidRDefault="00755622">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Información que se encuentra en los expedientes y en la base de datos de control de expedientes </w:t>
            </w:r>
            <w:proofErr w:type="gramStart"/>
            <w:r>
              <w:rPr>
                <w:rFonts w:asciiTheme="majorHAnsi" w:hAnsiTheme="majorHAnsi" w:cstheme="majorHAnsi"/>
                <w:color w:val="000000" w:themeColor="text1"/>
                <w:sz w:val="17"/>
                <w:szCs w:val="17"/>
              </w:rPr>
              <w:t>en  resguardo</w:t>
            </w:r>
            <w:proofErr w:type="gramEnd"/>
            <w:r>
              <w:rPr>
                <w:rFonts w:asciiTheme="majorHAnsi" w:hAnsiTheme="majorHAnsi" w:cstheme="majorHAnsi"/>
                <w:color w:val="000000" w:themeColor="text1"/>
                <w:sz w:val="17"/>
                <w:szCs w:val="17"/>
              </w:rPr>
              <w:t xml:space="preserve"> de la Unidad Técnica Jurídica y de lo Contencioso Electoral del IEEPCO.</w:t>
            </w:r>
          </w:p>
        </w:tc>
        <w:tc>
          <w:tcPr>
            <w:tcW w:w="1650" w:type="dxa"/>
            <w:vAlign w:val="center"/>
          </w:tcPr>
          <w:p w14:paraId="7F909D51" w14:textId="74CCF2F4" w:rsidR="000739BB" w:rsidRDefault="00755622">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No contar con el personal necesario para realizar esta actividad y distraer de otros asuntos a los </w:t>
            </w:r>
            <w:proofErr w:type="gramStart"/>
            <w:r>
              <w:rPr>
                <w:rFonts w:asciiTheme="majorHAnsi" w:hAnsiTheme="majorHAnsi" w:cstheme="majorHAnsi"/>
                <w:color w:val="000000" w:themeColor="text1"/>
                <w:sz w:val="17"/>
                <w:szCs w:val="17"/>
              </w:rPr>
              <w:t>proyectistas,  para</w:t>
            </w:r>
            <w:proofErr w:type="gramEnd"/>
            <w:r>
              <w:rPr>
                <w:rFonts w:asciiTheme="majorHAnsi" w:hAnsiTheme="majorHAnsi" w:cstheme="majorHAnsi"/>
                <w:color w:val="000000" w:themeColor="text1"/>
                <w:sz w:val="17"/>
                <w:szCs w:val="17"/>
              </w:rPr>
              <w:t xml:space="preserve"> su realización.</w:t>
            </w:r>
          </w:p>
        </w:tc>
      </w:tr>
      <w:bookmarkEnd w:id="2"/>
      <w:tr w:rsidR="00BC541B" w14:paraId="7908E05D" w14:textId="77777777">
        <w:trPr>
          <w:trHeight w:val="454"/>
        </w:trPr>
        <w:tc>
          <w:tcPr>
            <w:tcW w:w="1289" w:type="dxa"/>
            <w:vAlign w:val="center"/>
          </w:tcPr>
          <w:p w14:paraId="273EBFC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Cumplimiento de obligaciones del área Jurídica </w:t>
            </w:r>
          </w:p>
        </w:tc>
        <w:tc>
          <w:tcPr>
            <w:tcW w:w="1901" w:type="dxa"/>
            <w:vAlign w:val="center"/>
          </w:tcPr>
          <w:p w14:paraId="2D50F45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Brindar servicios de asesoría jurídica, preparar o revisar proyectos de acuerdos, lineamientos, reglamentos u otros, a otras áreas del IEEPCO o coadyuvar en esto con la Secretaría Ejecutiva del Instituto.</w:t>
            </w:r>
          </w:p>
        </w:tc>
        <w:tc>
          <w:tcPr>
            <w:tcW w:w="1837" w:type="dxa"/>
            <w:vAlign w:val="center"/>
          </w:tcPr>
          <w:p w14:paraId="15BA716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Histórico del número de oficios, solicitudes, o turnos de atención remitidos por autoridades ajenas o áreas del propio Instituto atendidos durante el primer semestre del año.  (37)</w:t>
            </w:r>
          </w:p>
        </w:tc>
        <w:tc>
          <w:tcPr>
            <w:tcW w:w="638" w:type="dxa"/>
            <w:vAlign w:val="center"/>
          </w:tcPr>
          <w:p w14:paraId="2C9DD81C"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19</w:t>
            </w:r>
          </w:p>
        </w:tc>
        <w:tc>
          <w:tcPr>
            <w:tcW w:w="638" w:type="dxa"/>
            <w:vAlign w:val="center"/>
          </w:tcPr>
          <w:p w14:paraId="3E78738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19</w:t>
            </w:r>
          </w:p>
        </w:tc>
        <w:tc>
          <w:tcPr>
            <w:tcW w:w="638" w:type="dxa"/>
            <w:vAlign w:val="center"/>
          </w:tcPr>
          <w:p w14:paraId="2DF4D53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19</w:t>
            </w:r>
          </w:p>
        </w:tc>
        <w:tc>
          <w:tcPr>
            <w:tcW w:w="638" w:type="dxa"/>
            <w:vAlign w:val="center"/>
          </w:tcPr>
          <w:p w14:paraId="24A46A49"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19</w:t>
            </w:r>
          </w:p>
        </w:tc>
        <w:tc>
          <w:tcPr>
            <w:tcW w:w="2097" w:type="dxa"/>
            <w:vAlign w:val="center"/>
          </w:tcPr>
          <w:p w14:paraId="528E3B0D"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Información que se encuentra en los archivos de la Unidad Técnica Jurídica y de lo Contencioso Electoral del IEEPCO.</w:t>
            </w:r>
          </w:p>
        </w:tc>
        <w:tc>
          <w:tcPr>
            <w:tcW w:w="1650" w:type="dxa"/>
            <w:vAlign w:val="center"/>
          </w:tcPr>
          <w:p w14:paraId="357C34F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No contar con el personal necesario que permita la pronta atención de los oficios, solicitudes o turnos de atención. </w:t>
            </w:r>
          </w:p>
        </w:tc>
      </w:tr>
      <w:tr w:rsidR="00BC541B" w14:paraId="006BF533" w14:textId="77777777">
        <w:trPr>
          <w:trHeight w:val="454"/>
        </w:trPr>
        <w:tc>
          <w:tcPr>
            <w:tcW w:w="1289" w:type="dxa"/>
            <w:vAlign w:val="center"/>
          </w:tcPr>
          <w:p w14:paraId="33589E1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Cumplimiento de obligaciones del área Jurídica</w:t>
            </w:r>
          </w:p>
        </w:tc>
        <w:tc>
          <w:tcPr>
            <w:tcW w:w="1901" w:type="dxa"/>
            <w:vAlign w:val="center"/>
          </w:tcPr>
          <w:p w14:paraId="69B5CFB7"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Trámites de los medios de impugnación en contra de actos del Consejo General o del Instituto.</w:t>
            </w:r>
          </w:p>
        </w:tc>
        <w:tc>
          <w:tcPr>
            <w:tcW w:w="1837" w:type="dxa"/>
            <w:vAlign w:val="center"/>
          </w:tcPr>
          <w:p w14:paraId="7EEE86E1"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Promedio histórico de la cantidad de medios de impugnación tramitados en el año previo a la elección ordinaria inmediata anterior (143).</w:t>
            </w:r>
          </w:p>
        </w:tc>
        <w:tc>
          <w:tcPr>
            <w:tcW w:w="638" w:type="dxa"/>
            <w:vAlign w:val="center"/>
          </w:tcPr>
          <w:p w14:paraId="1FB9590E"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36</w:t>
            </w:r>
          </w:p>
        </w:tc>
        <w:tc>
          <w:tcPr>
            <w:tcW w:w="638" w:type="dxa"/>
            <w:vAlign w:val="center"/>
          </w:tcPr>
          <w:p w14:paraId="249A368B"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36</w:t>
            </w:r>
          </w:p>
        </w:tc>
        <w:tc>
          <w:tcPr>
            <w:tcW w:w="638" w:type="dxa"/>
            <w:vAlign w:val="center"/>
          </w:tcPr>
          <w:p w14:paraId="4B2B3EC6"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36</w:t>
            </w:r>
          </w:p>
        </w:tc>
        <w:tc>
          <w:tcPr>
            <w:tcW w:w="638" w:type="dxa"/>
            <w:vAlign w:val="center"/>
          </w:tcPr>
          <w:p w14:paraId="55140852"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36</w:t>
            </w:r>
          </w:p>
        </w:tc>
        <w:tc>
          <w:tcPr>
            <w:tcW w:w="2097" w:type="dxa"/>
            <w:vAlign w:val="center"/>
          </w:tcPr>
          <w:p w14:paraId="7C901C2F"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Información que se encuentra en la base de datos de la Unidad Técnica Jurídica y de lo Contencioso Electoral del IEEPCO.</w:t>
            </w:r>
          </w:p>
        </w:tc>
        <w:tc>
          <w:tcPr>
            <w:tcW w:w="1650" w:type="dxa"/>
            <w:vAlign w:val="center"/>
          </w:tcPr>
          <w:p w14:paraId="3F963494"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No contar con el personal suficiente y demandar el apoyo a personal que tiene otras funciones. </w:t>
            </w:r>
          </w:p>
        </w:tc>
      </w:tr>
      <w:tr w:rsidR="00BC541B" w14:paraId="660DC621" w14:textId="77777777">
        <w:trPr>
          <w:trHeight w:val="454"/>
        </w:trPr>
        <w:tc>
          <w:tcPr>
            <w:tcW w:w="1289" w:type="dxa"/>
            <w:vAlign w:val="center"/>
          </w:tcPr>
          <w:p w14:paraId="5BC906A9"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Cumplimiento de obligaciones del área Jurídica</w:t>
            </w:r>
          </w:p>
        </w:tc>
        <w:tc>
          <w:tcPr>
            <w:tcW w:w="1901" w:type="dxa"/>
            <w:vAlign w:val="center"/>
          </w:tcPr>
          <w:p w14:paraId="4A1177C8"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Realizar acciones de recepción de correspondencia.</w:t>
            </w:r>
          </w:p>
        </w:tc>
        <w:tc>
          <w:tcPr>
            <w:tcW w:w="1837" w:type="dxa"/>
            <w:vAlign w:val="center"/>
          </w:tcPr>
          <w:p w14:paraId="1B2D0D33"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Promedio del histórico de la cantidad de correspondencia recibida durante el primer semestre del 2025 en la oficialía de partes.</w:t>
            </w:r>
          </w:p>
        </w:tc>
        <w:tc>
          <w:tcPr>
            <w:tcW w:w="638" w:type="dxa"/>
            <w:vAlign w:val="center"/>
          </w:tcPr>
          <w:p w14:paraId="2A601354"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2199</w:t>
            </w:r>
          </w:p>
        </w:tc>
        <w:tc>
          <w:tcPr>
            <w:tcW w:w="638" w:type="dxa"/>
            <w:vAlign w:val="center"/>
          </w:tcPr>
          <w:p w14:paraId="42D24107"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2199</w:t>
            </w:r>
          </w:p>
        </w:tc>
        <w:tc>
          <w:tcPr>
            <w:tcW w:w="638" w:type="dxa"/>
            <w:vAlign w:val="center"/>
          </w:tcPr>
          <w:p w14:paraId="17157646"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2199</w:t>
            </w:r>
          </w:p>
        </w:tc>
        <w:tc>
          <w:tcPr>
            <w:tcW w:w="638" w:type="dxa"/>
            <w:vAlign w:val="center"/>
          </w:tcPr>
          <w:p w14:paraId="2D670EE8"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2199</w:t>
            </w:r>
          </w:p>
        </w:tc>
        <w:tc>
          <w:tcPr>
            <w:tcW w:w="2097" w:type="dxa"/>
            <w:vAlign w:val="center"/>
          </w:tcPr>
          <w:p w14:paraId="65B3ABF3"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Información que se encuentra en la base de datos de la Oficialía de Partes</w:t>
            </w:r>
          </w:p>
        </w:tc>
        <w:tc>
          <w:tcPr>
            <w:tcW w:w="1650" w:type="dxa"/>
            <w:vAlign w:val="center"/>
          </w:tcPr>
          <w:p w14:paraId="38D88908"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No contar con el personal suficiente que retrase la recepción y envío de información a las consejerías y áreas correspondientes. </w:t>
            </w:r>
          </w:p>
        </w:tc>
      </w:tr>
      <w:tr w:rsidR="00BC541B" w14:paraId="0E89837C" w14:textId="77777777">
        <w:trPr>
          <w:trHeight w:val="454"/>
        </w:trPr>
        <w:tc>
          <w:tcPr>
            <w:tcW w:w="1289" w:type="dxa"/>
            <w:vAlign w:val="center"/>
          </w:tcPr>
          <w:p w14:paraId="03D5343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Cumplimiento de obligaciones del área Jurídica</w:t>
            </w:r>
          </w:p>
        </w:tc>
        <w:tc>
          <w:tcPr>
            <w:tcW w:w="1901" w:type="dxa"/>
            <w:vAlign w:val="center"/>
          </w:tcPr>
          <w:p w14:paraId="2541A1DD"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Realizar el trámite para la elaboración de certificaciones requeridas por otras áreas del Instituto y la propia unidad técnica.</w:t>
            </w:r>
          </w:p>
        </w:tc>
        <w:tc>
          <w:tcPr>
            <w:tcW w:w="1837" w:type="dxa"/>
            <w:vAlign w:val="center"/>
          </w:tcPr>
          <w:p w14:paraId="61EB5A5F"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Histórico de la cantidad durante el primer trimestre del 2025.</w:t>
            </w:r>
          </w:p>
        </w:tc>
        <w:tc>
          <w:tcPr>
            <w:tcW w:w="638" w:type="dxa"/>
            <w:vAlign w:val="center"/>
          </w:tcPr>
          <w:p w14:paraId="1CF6EC78"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349</w:t>
            </w:r>
          </w:p>
        </w:tc>
        <w:tc>
          <w:tcPr>
            <w:tcW w:w="638" w:type="dxa"/>
            <w:vAlign w:val="center"/>
          </w:tcPr>
          <w:p w14:paraId="47DA7808"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349</w:t>
            </w:r>
          </w:p>
        </w:tc>
        <w:tc>
          <w:tcPr>
            <w:tcW w:w="638" w:type="dxa"/>
            <w:vAlign w:val="center"/>
          </w:tcPr>
          <w:p w14:paraId="233BACD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349</w:t>
            </w:r>
          </w:p>
        </w:tc>
        <w:tc>
          <w:tcPr>
            <w:tcW w:w="638" w:type="dxa"/>
            <w:vAlign w:val="center"/>
          </w:tcPr>
          <w:p w14:paraId="43627717"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349</w:t>
            </w:r>
          </w:p>
        </w:tc>
        <w:tc>
          <w:tcPr>
            <w:tcW w:w="2097" w:type="dxa"/>
            <w:vAlign w:val="center"/>
          </w:tcPr>
          <w:p w14:paraId="337F9608"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Información que se encuentra en la base de datos de la Unidad Técnica Jurídica y de lo Contencioso Electoral del IEEPCO</w:t>
            </w:r>
          </w:p>
        </w:tc>
        <w:tc>
          <w:tcPr>
            <w:tcW w:w="1650" w:type="dxa"/>
            <w:vAlign w:val="center"/>
          </w:tcPr>
          <w:p w14:paraId="40AB813B"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No contar con el personal suficiente y demandar el apoyo a personal que tiene otras funciones.</w:t>
            </w:r>
          </w:p>
        </w:tc>
      </w:tr>
      <w:tr w:rsidR="00BC541B" w14:paraId="67318F18" w14:textId="77777777">
        <w:trPr>
          <w:trHeight w:val="454"/>
        </w:trPr>
        <w:tc>
          <w:tcPr>
            <w:tcW w:w="1289" w:type="dxa"/>
            <w:vAlign w:val="center"/>
          </w:tcPr>
          <w:p w14:paraId="395CC46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Cumplimiento de obligaciones del área Jurídica</w:t>
            </w:r>
          </w:p>
        </w:tc>
        <w:tc>
          <w:tcPr>
            <w:tcW w:w="1901" w:type="dxa"/>
            <w:vAlign w:val="center"/>
          </w:tcPr>
          <w:p w14:paraId="36E6BD37"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Realizar el levantamiento de actas de oficialía electoral requeridas por los </w:t>
            </w:r>
            <w:r w:rsidRPr="00727A0E">
              <w:rPr>
                <w:rFonts w:asciiTheme="majorHAnsi" w:hAnsiTheme="majorHAnsi" w:cstheme="majorHAnsi"/>
                <w:color w:val="000000" w:themeColor="text1"/>
                <w:sz w:val="17"/>
                <w:szCs w:val="17"/>
              </w:rPr>
              <w:lastRenderedPageBreak/>
              <w:t>órganos del Instituto o partidos políticos; así como las actas circunstanciadas solicitadas por la Comisión de Quejas y Denuncias.</w:t>
            </w:r>
          </w:p>
        </w:tc>
        <w:tc>
          <w:tcPr>
            <w:tcW w:w="1837" w:type="dxa"/>
            <w:vAlign w:val="center"/>
          </w:tcPr>
          <w:p w14:paraId="4CF5CA1C"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 xml:space="preserve">Promedio del número de expedientes abiertos en el año previo a la </w:t>
            </w:r>
            <w:r>
              <w:rPr>
                <w:rFonts w:asciiTheme="majorHAnsi" w:hAnsiTheme="majorHAnsi" w:cstheme="majorHAnsi"/>
                <w:color w:val="000000" w:themeColor="text1"/>
                <w:sz w:val="17"/>
                <w:szCs w:val="17"/>
              </w:rPr>
              <w:lastRenderedPageBreak/>
              <w:t>elección ordinaria inmediata anterior.</w:t>
            </w:r>
          </w:p>
        </w:tc>
        <w:tc>
          <w:tcPr>
            <w:tcW w:w="638" w:type="dxa"/>
            <w:vAlign w:val="center"/>
          </w:tcPr>
          <w:p w14:paraId="0C5779EE"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26</w:t>
            </w:r>
          </w:p>
        </w:tc>
        <w:tc>
          <w:tcPr>
            <w:tcW w:w="638" w:type="dxa"/>
            <w:vAlign w:val="center"/>
          </w:tcPr>
          <w:p w14:paraId="12ED4634"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26</w:t>
            </w:r>
          </w:p>
        </w:tc>
        <w:tc>
          <w:tcPr>
            <w:tcW w:w="638" w:type="dxa"/>
            <w:vAlign w:val="center"/>
          </w:tcPr>
          <w:p w14:paraId="33AAE8D9"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26</w:t>
            </w:r>
          </w:p>
        </w:tc>
        <w:tc>
          <w:tcPr>
            <w:tcW w:w="638" w:type="dxa"/>
            <w:vAlign w:val="center"/>
          </w:tcPr>
          <w:p w14:paraId="3EB389E6" w14:textId="77777777" w:rsidR="00BC541B" w:rsidRDefault="001277CA">
            <w:pPr>
              <w:spacing w:after="0" w:line="240" w:lineRule="auto"/>
              <w:jc w:val="center"/>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26</w:t>
            </w:r>
          </w:p>
        </w:tc>
        <w:tc>
          <w:tcPr>
            <w:tcW w:w="2097" w:type="dxa"/>
            <w:vAlign w:val="center"/>
          </w:tcPr>
          <w:p w14:paraId="08BE17D2"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 xml:space="preserve">Información que se encuentra en la base de datos de la oficialía </w:t>
            </w:r>
            <w:r>
              <w:rPr>
                <w:rFonts w:asciiTheme="majorHAnsi" w:hAnsiTheme="majorHAnsi" w:cstheme="majorHAnsi"/>
                <w:color w:val="000000" w:themeColor="text1"/>
                <w:sz w:val="17"/>
                <w:szCs w:val="17"/>
              </w:rPr>
              <w:lastRenderedPageBreak/>
              <w:t xml:space="preserve">electoral y de la Unidad Jurídica </w:t>
            </w:r>
          </w:p>
        </w:tc>
        <w:tc>
          <w:tcPr>
            <w:tcW w:w="1650" w:type="dxa"/>
            <w:vAlign w:val="center"/>
          </w:tcPr>
          <w:p w14:paraId="7FA48FE7"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lastRenderedPageBreak/>
              <w:t>No contar con el personal suficiente.</w:t>
            </w:r>
          </w:p>
        </w:tc>
      </w:tr>
      <w:tr w:rsidR="00BC541B" w14:paraId="57C33CA6" w14:textId="77777777">
        <w:trPr>
          <w:trHeight w:val="454"/>
        </w:trPr>
        <w:tc>
          <w:tcPr>
            <w:tcW w:w="1289" w:type="dxa"/>
            <w:vAlign w:val="center"/>
          </w:tcPr>
          <w:p w14:paraId="76B7D33A"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Cumplimiento de obligaciones del área Jurídica</w:t>
            </w:r>
          </w:p>
        </w:tc>
        <w:tc>
          <w:tcPr>
            <w:tcW w:w="1901" w:type="dxa"/>
            <w:vAlign w:val="center"/>
          </w:tcPr>
          <w:p w14:paraId="052F51D5" w14:textId="77777777" w:rsidR="00BC541B" w:rsidRDefault="001277CA">
            <w:pPr>
              <w:spacing w:after="0" w:line="240" w:lineRule="auto"/>
              <w:jc w:val="both"/>
              <w:rPr>
                <w:rFonts w:asciiTheme="majorHAnsi" w:hAnsiTheme="majorHAnsi" w:cstheme="majorHAnsi"/>
                <w:color w:val="000000" w:themeColor="text1"/>
                <w:sz w:val="17"/>
                <w:szCs w:val="17"/>
                <w:highlight w:val="yellow"/>
              </w:rPr>
            </w:pPr>
            <w:r>
              <w:rPr>
                <w:rFonts w:asciiTheme="majorHAnsi" w:hAnsiTheme="majorHAnsi" w:cstheme="majorHAnsi"/>
                <w:color w:val="000000" w:themeColor="text1"/>
                <w:sz w:val="17"/>
                <w:szCs w:val="17"/>
              </w:rPr>
              <w:t>Dar cumplimiento a los auxilios de labores, sentencias y/o requerimientos del Tribunal local y las Salas Electorales del Poder Judicial de la Federación.</w:t>
            </w:r>
          </w:p>
        </w:tc>
        <w:tc>
          <w:tcPr>
            <w:tcW w:w="1837" w:type="dxa"/>
            <w:vAlign w:val="center"/>
          </w:tcPr>
          <w:p w14:paraId="0363124D"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Aproximado de acuerdo a la experiencia</w:t>
            </w:r>
          </w:p>
        </w:tc>
        <w:tc>
          <w:tcPr>
            <w:tcW w:w="638" w:type="dxa"/>
            <w:vAlign w:val="center"/>
          </w:tcPr>
          <w:p w14:paraId="0AC1D71D"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15</w:t>
            </w:r>
          </w:p>
        </w:tc>
        <w:tc>
          <w:tcPr>
            <w:tcW w:w="638" w:type="dxa"/>
            <w:vAlign w:val="center"/>
          </w:tcPr>
          <w:p w14:paraId="49661D6B"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15</w:t>
            </w:r>
          </w:p>
        </w:tc>
        <w:tc>
          <w:tcPr>
            <w:tcW w:w="638" w:type="dxa"/>
            <w:vAlign w:val="center"/>
          </w:tcPr>
          <w:p w14:paraId="6D838050"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15</w:t>
            </w:r>
          </w:p>
        </w:tc>
        <w:tc>
          <w:tcPr>
            <w:tcW w:w="638" w:type="dxa"/>
            <w:vAlign w:val="center"/>
          </w:tcPr>
          <w:p w14:paraId="68DE7339"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15</w:t>
            </w:r>
          </w:p>
        </w:tc>
        <w:tc>
          <w:tcPr>
            <w:tcW w:w="2097" w:type="dxa"/>
            <w:vAlign w:val="center"/>
          </w:tcPr>
          <w:p w14:paraId="38F73CC8"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Información que obra en los expedientes o en los archivos de la Unidad Técnica Jurídica y de lo Contencioso Electoral del IEEPCO</w:t>
            </w:r>
          </w:p>
        </w:tc>
        <w:tc>
          <w:tcPr>
            <w:tcW w:w="1650" w:type="dxa"/>
            <w:vAlign w:val="center"/>
          </w:tcPr>
          <w:p w14:paraId="7FE38DC8"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No contar con el recurso humano, presupuestal o material suficiente.</w:t>
            </w:r>
          </w:p>
        </w:tc>
      </w:tr>
      <w:tr w:rsidR="00BC541B" w14:paraId="3439F980" w14:textId="77777777">
        <w:trPr>
          <w:trHeight w:val="454"/>
        </w:trPr>
        <w:tc>
          <w:tcPr>
            <w:tcW w:w="1289" w:type="dxa"/>
            <w:vAlign w:val="center"/>
          </w:tcPr>
          <w:p w14:paraId="59C02634"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Sustanciar los procedimientos sancionadores.</w:t>
            </w:r>
          </w:p>
        </w:tc>
        <w:tc>
          <w:tcPr>
            <w:tcW w:w="1901" w:type="dxa"/>
            <w:vAlign w:val="center"/>
          </w:tcPr>
          <w:p w14:paraId="3B8686D0" w14:textId="77777777" w:rsidR="00BC541B" w:rsidRDefault="001277CA">
            <w:pPr>
              <w:spacing w:after="0" w:line="240" w:lineRule="auto"/>
              <w:jc w:val="both"/>
              <w:rPr>
                <w:rFonts w:asciiTheme="majorHAnsi" w:hAnsiTheme="majorHAnsi" w:cstheme="majorHAnsi"/>
                <w:color w:val="000000" w:themeColor="text1"/>
                <w:sz w:val="17"/>
                <w:szCs w:val="17"/>
              </w:rPr>
            </w:pPr>
            <w:r>
              <w:rPr>
                <w:rFonts w:asciiTheme="majorHAnsi" w:hAnsiTheme="majorHAnsi" w:cstheme="majorHAnsi"/>
                <w:color w:val="000000" w:themeColor="text1"/>
                <w:sz w:val="17"/>
                <w:szCs w:val="17"/>
              </w:rPr>
              <w:t>Traducciones de lenguas originarias.</w:t>
            </w:r>
          </w:p>
        </w:tc>
        <w:tc>
          <w:tcPr>
            <w:tcW w:w="1837" w:type="dxa"/>
            <w:vAlign w:val="center"/>
          </w:tcPr>
          <w:p w14:paraId="32EE9EF2"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Histórico en el año 2025.</w:t>
            </w:r>
          </w:p>
        </w:tc>
        <w:tc>
          <w:tcPr>
            <w:tcW w:w="638" w:type="dxa"/>
            <w:vAlign w:val="center"/>
          </w:tcPr>
          <w:p w14:paraId="07548B66"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2</w:t>
            </w:r>
          </w:p>
        </w:tc>
        <w:tc>
          <w:tcPr>
            <w:tcW w:w="638" w:type="dxa"/>
            <w:vAlign w:val="center"/>
          </w:tcPr>
          <w:p w14:paraId="51748798"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w:t>
            </w:r>
          </w:p>
        </w:tc>
        <w:tc>
          <w:tcPr>
            <w:tcW w:w="638" w:type="dxa"/>
            <w:vAlign w:val="center"/>
          </w:tcPr>
          <w:p w14:paraId="7E82AD41"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w:t>
            </w:r>
          </w:p>
        </w:tc>
        <w:tc>
          <w:tcPr>
            <w:tcW w:w="638" w:type="dxa"/>
            <w:vAlign w:val="center"/>
          </w:tcPr>
          <w:p w14:paraId="763D8B0D" w14:textId="77777777" w:rsidR="00BC541B" w:rsidRPr="00727A0E" w:rsidRDefault="001277CA">
            <w:pPr>
              <w:spacing w:after="0" w:line="240" w:lineRule="auto"/>
              <w:jc w:val="center"/>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1</w:t>
            </w:r>
          </w:p>
        </w:tc>
        <w:tc>
          <w:tcPr>
            <w:tcW w:w="2097" w:type="dxa"/>
            <w:vAlign w:val="center"/>
          </w:tcPr>
          <w:p w14:paraId="320C560E"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Información que </w:t>
            </w:r>
            <w:proofErr w:type="spellStart"/>
            <w:r w:rsidRPr="00727A0E">
              <w:rPr>
                <w:rFonts w:asciiTheme="majorHAnsi" w:hAnsiTheme="majorHAnsi" w:cstheme="majorHAnsi"/>
                <w:color w:val="000000" w:themeColor="text1"/>
                <w:sz w:val="17"/>
                <w:szCs w:val="17"/>
              </w:rPr>
              <w:t>obrá</w:t>
            </w:r>
            <w:proofErr w:type="spellEnd"/>
            <w:r w:rsidRPr="00727A0E">
              <w:rPr>
                <w:rFonts w:asciiTheme="majorHAnsi" w:hAnsiTheme="majorHAnsi" w:cstheme="majorHAnsi"/>
                <w:color w:val="000000" w:themeColor="text1"/>
                <w:sz w:val="17"/>
                <w:szCs w:val="17"/>
              </w:rPr>
              <w:t xml:space="preserve"> en los expedientes de la Comisión de Quejas y Denuncias.</w:t>
            </w:r>
          </w:p>
        </w:tc>
        <w:tc>
          <w:tcPr>
            <w:tcW w:w="1650" w:type="dxa"/>
            <w:vAlign w:val="center"/>
          </w:tcPr>
          <w:p w14:paraId="1E4E12F5" w14:textId="77777777" w:rsidR="00BC541B" w:rsidRPr="00727A0E" w:rsidRDefault="001277CA">
            <w:pPr>
              <w:spacing w:after="0" w:line="240" w:lineRule="auto"/>
              <w:jc w:val="both"/>
              <w:rPr>
                <w:rFonts w:asciiTheme="majorHAnsi" w:hAnsiTheme="majorHAnsi" w:cstheme="majorHAnsi"/>
                <w:color w:val="000000" w:themeColor="text1"/>
                <w:sz w:val="17"/>
                <w:szCs w:val="17"/>
              </w:rPr>
            </w:pPr>
            <w:r w:rsidRPr="00727A0E">
              <w:rPr>
                <w:rFonts w:asciiTheme="majorHAnsi" w:hAnsiTheme="majorHAnsi" w:cstheme="majorHAnsi"/>
                <w:color w:val="000000" w:themeColor="text1"/>
                <w:sz w:val="17"/>
                <w:szCs w:val="17"/>
              </w:rPr>
              <w:t xml:space="preserve">No contar con la persona que pueda traducir la información y </w:t>
            </w:r>
            <w:proofErr w:type="spellStart"/>
            <w:r w:rsidRPr="00727A0E">
              <w:rPr>
                <w:rFonts w:asciiTheme="majorHAnsi" w:hAnsiTheme="majorHAnsi" w:cstheme="majorHAnsi"/>
                <w:color w:val="000000" w:themeColor="text1"/>
                <w:sz w:val="17"/>
                <w:szCs w:val="17"/>
              </w:rPr>
              <w:t>requierir</w:t>
            </w:r>
            <w:proofErr w:type="spellEnd"/>
            <w:r w:rsidRPr="00727A0E">
              <w:rPr>
                <w:rFonts w:asciiTheme="majorHAnsi" w:hAnsiTheme="majorHAnsi" w:cstheme="majorHAnsi"/>
                <w:color w:val="000000" w:themeColor="text1"/>
                <w:sz w:val="17"/>
                <w:szCs w:val="17"/>
              </w:rPr>
              <w:t xml:space="preserve"> de dependencias que cobran por los servicios brindados. </w:t>
            </w:r>
          </w:p>
        </w:tc>
      </w:tr>
    </w:tbl>
    <w:p w14:paraId="7D951AD6" w14:textId="77777777" w:rsidR="00BC541B" w:rsidRDefault="00BC541B">
      <w:pPr>
        <w:rPr>
          <w:rFonts w:asciiTheme="majorHAnsi" w:hAnsiTheme="majorHAnsi" w:cstheme="majorHAnsi"/>
          <w:color w:val="000000" w:themeColor="text1"/>
          <w:sz w:val="2"/>
          <w:szCs w:val="2"/>
        </w:rPr>
      </w:pPr>
    </w:p>
    <w:p w14:paraId="5C337A94" w14:textId="77777777" w:rsidR="00BC541B" w:rsidRDefault="00BC541B">
      <w:pPr>
        <w:rPr>
          <w:rFonts w:asciiTheme="majorHAnsi" w:hAnsiTheme="majorHAnsi" w:cstheme="majorHAnsi"/>
          <w:color w:val="000000" w:themeColor="text1"/>
          <w:sz w:val="2"/>
          <w:szCs w:val="2"/>
        </w:rPr>
      </w:pPr>
    </w:p>
    <w:p w14:paraId="3DF25CE7" w14:textId="77777777" w:rsidR="00BC541B" w:rsidRDefault="00BC541B">
      <w:pPr>
        <w:rPr>
          <w:rFonts w:asciiTheme="majorHAnsi" w:hAnsiTheme="majorHAnsi" w:cstheme="majorHAnsi"/>
          <w:color w:val="000000" w:themeColor="text1"/>
          <w:sz w:val="2"/>
          <w:szCs w:val="2"/>
        </w:rPr>
      </w:pPr>
    </w:p>
    <w:p w14:paraId="572A7637" w14:textId="77777777" w:rsidR="00BC541B" w:rsidRDefault="00BC541B">
      <w:pPr>
        <w:rPr>
          <w:rFonts w:asciiTheme="majorHAnsi" w:hAnsiTheme="majorHAnsi" w:cstheme="majorHAnsi"/>
          <w:color w:val="000000" w:themeColor="text1"/>
          <w:sz w:val="2"/>
          <w:szCs w:val="2"/>
        </w:rPr>
      </w:pPr>
    </w:p>
    <w:p w14:paraId="65725972" w14:textId="77777777" w:rsidR="00BC541B" w:rsidRDefault="00BC541B">
      <w:pPr>
        <w:rPr>
          <w:rFonts w:asciiTheme="majorHAnsi" w:hAnsiTheme="majorHAnsi" w:cstheme="majorHAnsi"/>
          <w:color w:val="000000" w:themeColor="text1"/>
          <w:sz w:val="2"/>
          <w:szCs w:val="2"/>
        </w:rPr>
      </w:pPr>
    </w:p>
    <w:p w14:paraId="600A01FD" w14:textId="77777777" w:rsidR="00BC541B" w:rsidRDefault="00BC541B">
      <w:pPr>
        <w:rPr>
          <w:rFonts w:asciiTheme="majorHAnsi" w:hAnsiTheme="majorHAnsi" w:cstheme="majorHAnsi"/>
          <w:color w:val="000000" w:themeColor="text1"/>
          <w:sz w:val="2"/>
          <w:szCs w:val="2"/>
        </w:rPr>
      </w:pPr>
    </w:p>
    <w:p w14:paraId="14657AE6" w14:textId="77777777" w:rsidR="00BC541B" w:rsidRDefault="00BC541B">
      <w:pPr>
        <w:rPr>
          <w:rFonts w:asciiTheme="majorHAnsi" w:hAnsiTheme="majorHAnsi" w:cstheme="majorHAnsi"/>
          <w:color w:val="000000" w:themeColor="text1"/>
          <w:sz w:val="2"/>
          <w:szCs w:val="2"/>
        </w:rPr>
      </w:pPr>
    </w:p>
    <w:p w14:paraId="74733DFC" w14:textId="77777777" w:rsidR="00BC541B" w:rsidRDefault="00BC541B">
      <w:pPr>
        <w:rPr>
          <w:rFonts w:asciiTheme="majorHAnsi" w:hAnsiTheme="majorHAnsi" w:cstheme="majorHAnsi"/>
          <w:color w:val="000000" w:themeColor="text1"/>
          <w:sz w:val="2"/>
          <w:szCs w:val="2"/>
        </w:rPr>
      </w:pPr>
    </w:p>
    <w:p w14:paraId="07F13774" w14:textId="77777777" w:rsidR="00BC541B" w:rsidRDefault="00BC541B">
      <w:pPr>
        <w:rPr>
          <w:rFonts w:asciiTheme="majorHAnsi" w:hAnsiTheme="majorHAnsi" w:cstheme="majorHAnsi"/>
          <w:color w:val="000000" w:themeColor="text1"/>
          <w:sz w:val="2"/>
          <w:szCs w:val="2"/>
        </w:rPr>
      </w:pPr>
    </w:p>
    <w:p w14:paraId="47602CDF" w14:textId="77777777" w:rsidR="00BC541B" w:rsidRDefault="00BC541B">
      <w:pPr>
        <w:rPr>
          <w:rFonts w:asciiTheme="majorHAnsi" w:hAnsiTheme="majorHAnsi" w:cstheme="majorHAnsi"/>
          <w:color w:val="000000" w:themeColor="text1"/>
          <w:sz w:val="2"/>
          <w:szCs w:val="2"/>
        </w:rPr>
      </w:pPr>
    </w:p>
    <w:p w14:paraId="39015222" w14:textId="77777777" w:rsidR="00BC541B" w:rsidRDefault="00BC541B">
      <w:pPr>
        <w:rPr>
          <w:rFonts w:asciiTheme="majorHAnsi" w:hAnsiTheme="majorHAnsi" w:cstheme="majorHAnsi"/>
          <w:color w:val="000000" w:themeColor="text1"/>
          <w:sz w:val="2"/>
          <w:szCs w:val="2"/>
        </w:rPr>
      </w:pPr>
    </w:p>
    <w:p w14:paraId="0482D0B1" w14:textId="77777777" w:rsidR="00BC541B" w:rsidRDefault="00BC541B">
      <w:pPr>
        <w:rPr>
          <w:rFonts w:asciiTheme="majorHAnsi" w:hAnsiTheme="majorHAnsi" w:cstheme="majorHAnsi"/>
          <w:color w:val="000000" w:themeColor="text1"/>
          <w:sz w:val="2"/>
          <w:szCs w:val="2"/>
        </w:rPr>
      </w:pPr>
    </w:p>
    <w:p w14:paraId="1939DF0E" w14:textId="77777777" w:rsidR="00BC541B" w:rsidRDefault="00BC541B">
      <w:pPr>
        <w:rPr>
          <w:rFonts w:asciiTheme="majorHAnsi" w:hAnsiTheme="majorHAnsi" w:cstheme="majorHAnsi"/>
          <w:color w:val="000000" w:themeColor="text1"/>
          <w:sz w:val="2"/>
          <w:szCs w:val="2"/>
        </w:rPr>
      </w:pPr>
    </w:p>
    <w:p w14:paraId="0E546117" w14:textId="77777777" w:rsidR="00BC541B" w:rsidRDefault="00BC541B">
      <w:pPr>
        <w:rPr>
          <w:rFonts w:asciiTheme="majorHAnsi" w:hAnsiTheme="majorHAnsi" w:cstheme="majorHAnsi"/>
          <w:color w:val="000000" w:themeColor="text1"/>
          <w:sz w:val="2"/>
          <w:szCs w:val="2"/>
        </w:rPr>
      </w:pPr>
    </w:p>
    <w:p w14:paraId="4267DFE7" w14:textId="77777777" w:rsidR="00BC541B" w:rsidRDefault="00BC541B">
      <w:pPr>
        <w:rPr>
          <w:rFonts w:asciiTheme="majorHAnsi" w:hAnsiTheme="majorHAnsi" w:cstheme="majorHAnsi"/>
          <w:color w:val="000000" w:themeColor="text1"/>
          <w:sz w:val="2"/>
          <w:szCs w:val="2"/>
        </w:rPr>
      </w:pPr>
    </w:p>
    <w:p w14:paraId="39E1A60E" w14:textId="77777777" w:rsidR="00BC541B" w:rsidRDefault="00BC541B">
      <w:pPr>
        <w:rPr>
          <w:rFonts w:asciiTheme="majorHAnsi" w:hAnsiTheme="majorHAnsi" w:cstheme="majorHAnsi"/>
          <w:color w:val="000000" w:themeColor="text1"/>
          <w:sz w:val="2"/>
          <w:szCs w:val="2"/>
        </w:rPr>
      </w:pPr>
    </w:p>
    <w:p w14:paraId="0C6BA874" w14:textId="77777777" w:rsidR="00BC541B" w:rsidRDefault="00BC541B">
      <w:pPr>
        <w:rPr>
          <w:rFonts w:asciiTheme="majorHAnsi" w:hAnsiTheme="majorHAnsi" w:cstheme="majorHAnsi"/>
          <w:color w:val="000000" w:themeColor="text1"/>
          <w:sz w:val="2"/>
          <w:szCs w:val="2"/>
        </w:rPr>
      </w:pPr>
    </w:p>
    <w:p w14:paraId="7F4EED1C" w14:textId="77777777" w:rsidR="00BC541B" w:rsidRDefault="00BC541B">
      <w:pPr>
        <w:rPr>
          <w:rFonts w:asciiTheme="majorHAnsi" w:hAnsiTheme="majorHAnsi" w:cstheme="majorHAnsi"/>
          <w:color w:val="000000" w:themeColor="text1"/>
          <w:sz w:val="2"/>
          <w:szCs w:val="2"/>
        </w:rPr>
      </w:pPr>
    </w:p>
    <w:p w14:paraId="0BBD07EE" w14:textId="77777777" w:rsidR="00BC541B" w:rsidRDefault="00BC541B">
      <w:pPr>
        <w:rPr>
          <w:rFonts w:asciiTheme="majorHAnsi" w:hAnsiTheme="majorHAnsi" w:cstheme="majorHAnsi"/>
          <w:color w:val="000000" w:themeColor="text1"/>
          <w:sz w:val="2"/>
          <w:szCs w:val="2"/>
        </w:rPr>
      </w:pPr>
    </w:p>
    <w:p w14:paraId="2B760AB6" w14:textId="77777777" w:rsidR="00BC541B" w:rsidRDefault="00BC541B">
      <w:pPr>
        <w:rPr>
          <w:rFonts w:asciiTheme="majorHAnsi" w:hAnsiTheme="majorHAnsi" w:cstheme="majorHAnsi"/>
          <w:color w:val="000000" w:themeColor="text1"/>
          <w:sz w:val="2"/>
          <w:szCs w:val="2"/>
        </w:rPr>
      </w:pPr>
    </w:p>
    <w:p w14:paraId="246993FA" w14:textId="77777777" w:rsidR="00BC541B" w:rsidRDefault="00BC541B">
      <w:pPr>
        <w:rPr>
          <w:rFonts w:asciiTheme="majorHAnsi" w:hAnsiTheme="majorHAnsi" w:cstheme="majorHAnsi"/>
          <w:color w:val="000000" w:themeColor="text1"/>
          <w:sz w:val="2"/>
          <w:szCs w:val="2"/>
        </w:rPr>
      </w:pPr>
    </w:p>
    <w:p w14:paraId="268844CC" w14:textId="77777777" w:rsidR="00BC541B" w:rsidRDefault="00BC541B">
      <w:pPr>
        <w:rPr>
          <w:rFonts w:asciiTheme="majorHAnsi" w:hAnsiTheme="majorHAnsi" w:cstheme="majorHAnsi"/>
          <w:color w:val="000000" w:themeColor="text1"/>
          <w:sz w:val="2"/>
          <w:szCs w:val="2"/>
        </w:rPr>
      </w:pPr>
    </w:p>
    <w:p w14:paraId="0024EBD2" w14:textId="77777777" w:rsidR="00BC541B" w:rsidRDefault="00BC541B">
      <w:pPr>
        <w:rPr>
          <w:rFonts w:asciiTheme="majorHAnsi" w:hAnsiTheme="majorHAnsi" w:cstheme="majorHAnsi"/>
          <w:color w:val="000000" w:themeColor="text1"/>
          <w:sz w:val="2"/>
          <w:szCs w:val="2"/>
        </w:rPr>
      </w:pPr>
    </w:p>
    <w:p w14:paraId="3C8EED51" w14:textId="77777777" w:rsidR="00BC541B" w:rsidRDefault="00BC541B">
      <w:pPr>
        <w:rPr>
          <w:rFonts w:asciiTheme="majorHAnsi" w:hAnsiTheme="majorHAnsi" w:cstheme="majorHAnsi"/>
          <w:color w:val="000000" w:themeColor="text1"/>
          <w:sz w:val="2"/>
          <w:szCs w:val="2"/>
        </w:rPr>
      </w:pPr>
    </w:p>
    <w:p w14:paraId="0B717152" w14:textId="77777777" w:rsidR="00BC541B" w:rsidRDefault="00BC541B">
      <w:pPr>
        <w:rPr>
          <w:rFonts w:asciiTheme="majorHAnsi" w:hAnsiTheme="majorHAnsi" w:cstheme="majorHAnsi"/>
          <w:color w:val="000000" w:themeColor="text1"/>
          <w:sz w:val="2"/>
          <w:szCs w:val="2"/>
        </w:rPr>
      </w:pPr>
    </w:p>
    <w:p w14:paraId="3490C05E" w14:textId="77777777" w:rsidR="00BC541B" w:rsidRDefault="00BC541B">
      <w:pPr>
        <w:rPr>
          <w:rFonts w:asciiTheme="majorHAnsi" w:hAnsiTheme="majorHAnsi" w:cstheme="majorHAnsi"/>
          <w:color w:val="000000" w:themeColor="text1"/>
          <w:sz w:val="2"/>
          <w:szCs w:val="2"/>
        </w:rPr>
      </w:pPr>
    </w:p>
    <w:p w14:paraId="54E54537" w14:textId="77777777" w:rsidR="00BC541B" w:rsidRDefault="00BC541B">
      <w:pPr>
        <w:rPr>
          <w:rFonts w:asciiTheme="majorHAnsi" w:hAnsiTheme="majorHAnsi" w:cstheme="majorHAnsi"/>
          <w:color w:val="000000" w:themeColor="text1"/>
          <w:sz w:val="2"/>
          <w:szCs w:val="2"/>
        </w:rPr>
      </w:pPr>
    </w:p>
    <w:p w14:paraId="78FA800E" w14:textId="77777777" w:rsidR="00BC541B" w:rsidRDefault="00BC541B">
      <w:pPr>
        <w:rPr>
          <w:rFonts w:asciiTheme="majorHAnsi" w:hAnsiTheme="majorHAnsi" w:cstheme="majorHAnsi"/>
          <w:color w:val="000000" w:themeColor="text1"/>
          <w:sz w:val="2"/>
          <w:szCs w:val="2"/>
        </w:rPr>
      </w:pPr>
    </w:p>
    <w:p w14:paraId="18BDD18C" w14:textId="77777777" w:rsidR="00BC541B" w:rsidRDefault="00BC541B">
      <w:pPr>
        <w:rPr>
          <w:rFonts w:asciiTheme="majorHAnsi" w:hAnsiTheme="majorHAnsi" w:cstheme="majorHAnsi"/>
          <w:color w:val="000000" w:themeColor="text1"/>
          <w:sz w:val="2"/>
          <w:szCs w:val="2"/>
        </w:rPr>
      </w:pPr>
    </w:p>
    <w:p w14:paraId="799934B5" w14:textId="77777777" w:rsidR="00BC541B" w:rsidRDefault="00BC541B">
      <w:pPr>
        <w:rPr>
          <w:rFonts w:asciiTheme="majorHAnsi" w:hAnsiTheme="majorHAnsi" w:cstheme="majorHAnsi"/>
          <w:color w:val="000000" w:themeColor="text1"/>
          <w:sz w:val="2"/>
          <w:szCs w:val="2"/>
        </w:rPr>
      </w:pPr>
    </w:p>
    <w:p w14:paraId="4CC7CE70" w14:textId="77777777" w:rsidR="00BC541B" w:rsidRDefault="00BC541B">
      <w:pPr>
        <w:rPr>
          <w:rFonts w:asciiTheme="majorHAnsi" w:hAnsiTheme="majorHAnsi" w:cstheme="majorHAnsi"/>
          <w:color w:val="000000" w:themeColor="text1"/>
          <w:sz w:val="2"/>
          <w:szCs w:val="2"/>
        </w:rPr>
      </w:pPr>
    </w:p>
    <w:p w14:paraId="5BB92441" w14:textId="77777777" w:rsidR="00BC541B" w:rsidRDefault="00BC541B">
      <w:pPr>
        <w:rPr>
          <w:rFonts w:asciiTheme="majorHAnsi" w:hAnsiTheme="majorHAnsi" w:cstheme="majorHAnsi"/>
          <w:color w:val="000000" w:themeColor="text1"/>
          <w:sz w:val="2"/>
          <w:szCs w:val="2"/>
        </w:rPr>
      </w:pPr>
    </w:p>
    <w:p w14:paraId="5CD3B121" w14:textId="77777777" w:rsidR="00BC541B" w:rsidRDefault="00BC541B">
      <w:pPr>
        <w:rPr>
          <w:rFonts w:asciiTheme="majorHAnsi" w:hAnsiTheme="majorHAnsi" w:cstheme="majorHAnsi"/>
          <w:color w:val="000000" w:themeColor="text1"/>
          <w:sz w:val="2"/>
          <w:szCs w:val="2"/>
        </w:rPr>
      </w:pPr>
    </w:p>
    <w:p w14:paraId="530F4780" w14:textId="77777777" w:rsidR="00BC541B" w:rsidRDefault="00BC541B">
      <w:pPr>
        <w:rPr>
          <w:rFonts w:asciiTheme="majorHAnsi" w:hAnsiTheme="majorHAnsi" w:cstheme="majorHAnsi"/>
          <w:color w:val="000000" w:themeColor="text1"/>
          <w:sz w:val="2"/>
          <w:szCs w:val="2"/>
        </w:rPr>
      </w:pPr>
    </w:p>
    <w:p w14:paraId="30DD452E" w14:textId="0B332233" w:rsidR="00BC541B" w:rsidRDefault="00BC541B">
      <w:pPr>
        <w:rPr>
          <w:rFonts w:asciiTheme="majorHAnsi" w:hAnsiTheme="majorHAnsi" w:cstheme="majorHAnsi"/>
          <w:color w:val="000000" w:themeColor="text1"/>
          <w:sz w:val="2"/>
          <w:szCs w:val="2"/>
        </w:rPr>
      </w:pPr>
    </w:p>
    <w:p w14:paraId="43B3B5C0" w14:textId="60505B91" w:rsidR="00727A0E" w:rsidRDefault="00727A0E">
      <w:pPr>
        <w:rPr>
          <w:rFonts w:asciiTheme="majorHAnsi" w:hAnsiTheme="majorHAnsi" w:cstheme="majorHAnsi"/>
          <w:color w:val="000000" w:themeColor="text1"/>
          <w:sz w:val="2"/>
          <w:szCs w:val="2"/>
        </w:rPr>
      </w:pPr>
    </w:p>
    <w:p w14:paraId="05D5BB32" w14:textId="737B27C1" w:rsidR="00727A0E" w:rsidRDefault="00727A0E">
      <w:pPr>
        <w:rPr>
          <w:rFonts w:asciiTheme="majorHAnsi" w:hAnsiTheme="majorHAnsi" w:cstheme="majorHAnsi"/>
          <w:color w:val="000000" w:themeColor="text1"/>
          <w:sz w:val="2"/>
          <w:szCs w:val="2"/>
        </w:rPr>
      </w:pPr>
    </w:p>
    <w:p w14:paraId="56B118F7" w14:textId="63178D53" w:rsidR="00727A0E" w:rsidRDefault="00727A0E">
      <w:pPr>
        <w:rPr>
          <w:rFonts w:asciiTheme="majorHAnsi" w:hAnsiTheme="majorHAnsi" w:cstheme="majorHAnsi"/>
          <w:color w:val="000000" w:themeColor="text1"/>
          <w:sz w:val="2"/>
          <w:szCs w:val="2"/>
        </w:rPr>
      </w:pPr>
    </w:p>
    <w:p w14:paraId="1995A1F0" w14:textId="1C724689" w:rsidR="00727A0E" w:rsidRDefault="00727A0E">
      <w:pPr>
        <w:rPr>
          <w:rFonts w:asciiTheme="majorHAnsi" w:hAnsiTheme="majorHAnsi" w:cstheme="majorHAnsi"/>
          <w:color w:val="000000" w:themeColor="text1"/>
          <w:sz w:val="2"/>
          <w:szCs w:val="2"/>
        </w:rPr>
      </w:pPr>
    </w:p>
    <w:p w14:paraId="6708C125" w14:textId="55E69E4D" w:rsidR="00727A0E" w:rsidRDefault="00727A0E">
      <w:pPr>
        <w:rPr>
          <w:rFonts w:asciiTheme="majorHAnsi" w:hAnsiTheme="majorHAnsi" w:cstheme="majorHAnsi"/>
          <w:color w:val="000000" w:themeColor="text1"/>
          <w:sz w:val="2"/>
          <w:szCs w:val="2"/>
        </w:rPr>
      </w:pPr>
    </w:p>
    <w:p w14:paraId="0B53E577" w14:textId="77777777" w:rsidR="00727A0E" w:rsidRDefault="00727A0E">
      <w:pPr>
        <w:rPr>
          <w:rFonts w:asciiTheme="majorHAnsi" w:hAnsiTheme="majorHAnsi" w:cstheme="majorHAnsi"/>
          <w:color w:val="000000" w:themeColor="text1"/>
          <w:sz w:val="2"/>
          <w:szCs w:val="2"/>
        </w:rPr>
      </w:pPr>
    </w:p>
    <w:p w14:paraId="1322D1ED" w14:textId="77777777" w:rsidR="00BC541B" w:rsidRDefault="00BC541B">
      <w:pPr>
        <w:rPr>
          <w:rFonts w:asciiTheme="majorHAnsi" w:hAnsiTheme="majorHAnsi" w:cstheme="majorHAnsi"/>
          <w:color w:val="000000" w:themeColor="text1"/>
          <w:sz w:val="2"/>
          <w:szCs w:val="2"/>
        </w:rPr>
      </w:pPr>
    </w:p>
    <w:p w14:paraId="4D544E7F" w14:textId="77777777" w:rsidR="00BC541B" w:rsidRDefault="00BC541B">
      <w:pPr>
        <w:rPr>
          <w:rFonts w:asciiTheme="majorHAnsi" w:hAnsiTheme="majorHAnsi" w:cstheme="majorHAnsi"/>
          <w:color w:val="000000" w:themeColor="text1"/>
          <w:sz w:val="2"/>
          <w:szCs w:val="2"/>
        </w:rPr>
      </w:pPr>
    </w:p>
    <w:p w14:paraId="58EE583D" w14:textId="77777777" w:rsidR="00BC541B" w:rsidRDefault="00BC541B">
      <w:pPr>
        <w:rPr>
          <w:rFonts w:asciiTheme="majorHAnsi" w:hAnsiTheme="majorHAnsi" w:cstheme="majorHAnsi"/>
          <w:color w:val="000000" w:themeColor="text1"/>
          <w:sz w:val="2"/>
          <w:szCs w:val="2"/>
        </w:rPr>
      </w:pPr>
    </w:p>
    <w:p w14:paraId="2B8AE520" w14:textId="77777777" w:rsidR="00BC541B" w:rsidRDefault="00BC541B">
      <w:pPr>
        <w:rPr>
          <w:rFonts w:asciiTheme="majorHAnsi" w:hAnsiTheme="majorHAnsi" w:cstheme="majorHAnsi"/>
          <w:color w:val="000000" w:themeColor="text1"/>
          <w:sz w:val="2"/>
          <w:szCs w:val="2"/>
        </w:rPr>
      </w:pPr>
    </w:p>
    <w:p w14:paraId="231C1C50" w14:textId="77777777" w:rsidR="00BC541B" w:rsidRDefault="00BC541B">
      <w:pPr>
        <w:rPr>
          <w:rFonts w:asciiTheme="majorHAnsi" w:hAnsiTheme="majorHAnsi" w:cstheme="majorHAnsi"/>
          <w:color w:val="000000" w:themeColor="text1"/>
          <w:sz w:val="2"/>
          <w:szCs w:val="2"/>
        </w:rPr>
      </w:pPr>
    </w:p>
    <w:p w14:paraId="5572AF39" w14:textId="77777777" w:rsidR="00BC541B" w:rsidRDefault="00BC541B">
      <w:pPr>
        <w:rPr>
          <w:rFonts w:asciiTheme="majorHAnsi" w:hAnsiTheme="majorHAnsi" w:cstheme="majorHAnsi"/>
          <w:color w:val="000000" w:themeColor="text1"/>
          <w:sz w:val="2"/>
          <w:szCs w:val="2"/>
        </w:rPr>
      </w:pPr>
    </w:p>
    <w:p w14:paraId="736A971B" w14:textId="77777777" w:rsidR="00BC541B" w:rsidRDefault="00BC541B">
      <w:pPr>
        <w:rPr>
          <w:rFonts w:asciiTheme="majorHAnsi" w:hAnsiTheme="majorHAnsi" w:cstheme="majorHAnsi"/>
          <w:color w:val="000000" w:themeColor="text1"/>
          <w:sz w:val="2"/>
          <w:szCs w:val="2"/>
        </w:rPr>
      </w:pPr>
    </w:p>
    <w:p w14:paraId="1DC32395" w14:textId="77777777" w:rsidR="00BC541B" w:rsidRDefault="001277CA">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t>CALENDARIO DE ACTIVIDADES Y REQUERIMIENTOS</w:t>
      </w:r>
    </w:p>
    <w:p w14:paraId="6238C3D9" w14:textId="77777777" w:rsidR="00BC541B" w:rsidRDefault="00BC541B">
      <w:pPr>
        <w:jc w:val="both"/>
        <w:rPr>
          <w:rFonts w:asciiTheme="majorHAnsi" w:hAnsiTheme="majorHAnsi" w:cstheme="majorHAnsi"/>
          <w:color w:val="000000" w:themeColor="text1"/>
          <w:sz w:val="24"/>
          <w:szCs w:val="24"/>
        </w:rPr>
      </w:pPr>
    </w:p>
    <w:tbl>
      <w:tblPr>
        <w:tblpPr w:leftFromText="141" w:rightFromText="141" w:vertAnchor="text" w:horzAnchor="margin" w:tblpXSpec="center" w:tblpY="110"/>
        <w:tblW w:w="10910" w:type="dxa"/>
        <w:tblCellMar>
          <w:left w:w="70" w:type="dxa"/>
          <w:right w:w="70" w:type="dxa"/>
        </w:tblCellMar>
        <w:tblLook w:val="04A0" w:firstRow="1" w:lastRow="0" w:firstColumn="1" w:lastColumn="0" w:noHBand="0" w:noVBand="1"/>
      </w:tblPr>
      <w:tblGrid>
        <w:gridCol w:w="2547"/>
        <w:gridCol w:w="425"/>
        <w:gridCol w:w="397"/>
        <w:gridCol w:w="397"/>
        <w:gridCol w:w="397"/>
        <w:gridCol w:w="397"/>
        <w:gridCol w:w="397"/>
        <w:gridCol w:w="397"/>
        <w:gridCol w:w="397"/>
        <w:gridCol w:w="397"/>
        <w:gridCol w:w="397"/>
        <w:gridCol w:w="397"/>
        <w:gridCol w:w="397"/>
        <w:gridCol w:w="1870"/>
        <w:gridCol w:w="1701"/>
      </w:tblGrid>
      <w:tr w:rsidR="00BC541B" w14:paraId="056C9809" w14:textId="77777777">
        <w:trPr>
          <w:cantSplit/>
          <w:trHeight w:val="1077"/>
        </w:trPr>
        <w:tc>
          <w:tcPr>
            <w:tcW w:w="2547" w:type="dxa"/>
            <w:tcBorders>
              <w:top w:val="single" w:sz="4" w:space="0" w:color="auto"/>
              <w:left w:val="single" w:sz="4" w:space="0" w:color="auto"/>
              <w:bottom w:val="single" w:sz="4" w:space="0" w:color="auto"/>
              <w:right w:val="single" w:sz="4" w:space="0" w:color="auto"/>
            </w:tcBorders>
            <w:shd w:val="clear" w:color="auto" w:fill="800000"/>
            <w:noWrap/>
            <w:vAlign w:val="center"/>
          </w:tcPr>
          <w:p w14:paraId="36BE48EE" w14:textId="77777777" w:rsidR="00BC541B" w:rsidRDefault="001277CA">
            <w:pPr>
              <w:spacing w:after="0" w:line="240" w:lineRule="auto"/>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ACTIVIDAD</w:t>
            </w:r>
          </w:p>
        </w:tc>
        <w:tc>
          <w:tcPr>
            <w:tcW w:w="425" w:type="dxa"/>
            <w:tcBorders>
              <w:top w:val="single" w:sz="4" w:space="0" w:color="auto"/>
              <w:left w:val="nil"/>
              <w:bottom w:val="single" w:sz="4" w:space="0" w:color="auto"/>
              <w:right w:val="single" w:sz="4" w:space="0" w:color="auto"/>
            </w:tcBorders>
            <w:shd w:val="clear" w:color="auto" w:fill="800000"/>
            <w:noWrap/>
            <w:textDirection w:val="btLr"/>
            <w:vAlign w:val="center"/>
          </w:tcPr>
          <w:p w14:paraId="3D0097EC"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5AD0FAD2"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1E332C13"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2C2E89F4"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106F2033"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1232EDBE"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46D741C1"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4B0257A3"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33E8EFD7"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0A45ECF7"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37A07BC0"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tcPr>
          <w:p w14:paraId="22B83B2F" w14:textId="77777777" w:rsidR="00BC541B" w:rsidRDefault="001277CA">
            <w:pPr>
              <w:spacing w:after="0" w:line="240" w:lineRule="auto"/>
              <w:ind w:left="113" w:right="113"/>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DIC</w:t>
            </w:r>
          </w:p>
        </w:tc>
        <w:tc>
          <w:tcPr>
            <w:tcW w:w="1870" w:type="dxa"/>
            <w:tcBorders>
              <w:top w:val="single" w:sz="4" w:space="0" w:color="auto"/>
              <w:left w:val="nil"/>
              <w:bottom w:val="single" w:sz="4" w:space="0" w:color="auto"/>
              <w:right w:val="single" w:sz="4" w:space="0" w:color="auto"/>
            </w:tcBorders>
            <w:shd w:val="clear" w:color="auto" w:fill="800000"/>
            <w:noWrap/>
            <w:vAlign w:val="center"/>
          </w:tcPr>
          <w:p w14:paraId="10C34A07" w14:textId="77777777" w:rsidR="00BC541B" w:rsidRDefault="001277CA">
            <w:pPr>
              <w:spacing w:after="0" w:line="240" w:lineRule="auto"/>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REQUERIMIENTO</w:t>
            </w:r>
          </w:p>
        </w:tc>
        <w:tc>
          <w:tcPr>
            <w:tcW w:w="1701" w:type="dxa"/>
            <w:tcBorders>
              <w:top w:val="single" w:sz="4" w:space="0" w:color="auto"/>
              <w:left w:val="nil"/>
              <w:bottom w:val="single" w:sz="4" w:space="0" w:color="auto"/>
              <w:right w:val="single" w:sz="4" w:space="0" w:color="auto"/>
            </w:tcBorders>
            <w:shd w:val="clear" w:color="auto" w:fill="800000"/>
            <w:noWrap/>
            <w:vAlign w:val="center"/>
          </w:tcPr>
          <w:p w14:paraId="2EFB9AC1" w14:textId="77777777" w:rsidR="00BC541B" w:rsidRDefault="001277CA">
            <w:pPr>
              <w:spacing w:after="0" w:line="240" w:lineRule="auto"/>
              <w:jc w:val="center"/>
              <w:rPr>
                <w:rFonts w:ascii="Calibri" w:eastAsia="Times New Roman" w:hAnsi="Calibri" w:cs="Calibri"/>
                <w:b/>
                <w:bCs/>
                <w:color w:val="FFFFFF" w:themeColor="background1"/>
                <w:sz w:val="20"/>
                <w:szCs w:val="20"/>
                <w:lang w:eastAsia="es-MX"/>
              </w:rPr>
            </w:pPr>
            <w:r>
              <w:rPr>
                <w:rFonts w:ascii="Calibri" w:eastAsia="Times New Roman" w:hAnsi="Calibri" w:cs="Calibri"/>
                <w:b/>
                <w:bCs/>
                <w:color w:val="FFFFFF" w:themeColor="background1"/>
                <w:sz w:val="20"/>
                <w:szCs w:val="20"/>
                <w:lang w:eastAsia="es-MX"/>
              </w:rPr>
              <w:t>ENTREGABLE</w:t>
            </w:r>
          </w:p>
        </w:tc>
      </w:tr>
      <w:tr w:rsidR="00BC541B" w14:paraId="711A3A7D"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115468"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 xml:space="preserve">Instruir los expedientes que le corresponde a la Unidad Técnica Jurídica y Contencioso Electoral </w:t>
            </w:r>
          </w:p>
        </w:tc>
        <w:tc>
          <w:tcPr>
            <w:tcW w:w="425" w:type="dxa"/>
            <w:tcBorders>
              <w:top w:val="nil"/>
              <w:left w:val="nil"/>
              <w:bottom w:val="single" w:sz="4" w:space="0" w:color="auto"/>
              <w:right w:val="single" w:sz="4" w:space="0" w:color="auto"/>
            </w:tcBorders>
            <w:shd w:val="clear" w:color="auto" w:fill="auto"/>
            <w:noWrap/>
            <w:vAlign w:val="bottom"/>
          </w:tcPr>
          <w:p w14:paraId="5DDFEA07" w14:textId="77777777" w:rsidR="00BC541B" w:rsidRDefault="001277CA">
            <w:pPr>
              <w:spacing w:after="0" w:line="240" w:lineRule="auto"/>
              <w:rPr>
                <w:rFonts w:ascii="Calibri" w:eastAsia="Times New Roman" w:hAnsi="Calibri" w:cs="Calibri"/>
                <w:b/>
                <w:bCs/>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221FCF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1CF345B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3BC61BD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3A265D2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6CD0391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0B2A3F3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6EC79BC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AB13FF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CEF088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927B06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02A785F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X</w:t>
            </w:r>
          </w:p>
        </w:tc>
        <w:tc>
          <w:tcPr>
            <w:tcW w:w="1870" w:type="dxa"/>
            <w:tcBorders>
              <w:top w:val="nil"/>
              <w:left w:val="nil"/>
              <w:bottom w:val="single" w:sz="4" w:space="0" w:color="auto"/>
              <w:right w:val="single" w:sz="4" w:space="0" w:color="auto"/>
            </w:tcBorders>
            <w:shd w:val="clear" w:color="auto" w:fill="auto"/>
            <w:noWrap/>
            <w:vAlign w:val="bottom"/>
          </w:tcPr>
          <w:p w14:paraId="6FCBE64B" w14:textId="78504019"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 xml:space="preserve">Recursos materiales: </w:t>
            </w:r>
            <w:r>
              <w:rPr>
                <w:rFonts w:asciiTheme="majorHAnsi" w:eastAsia="Times New Roman" w:hAnsiTheme="majorHAnsi" w:cstheme="majorHAnsi"/>
                <w:color w:val="000000"/>
                <w:sz w:val="17"/>
                <w:szCs w:val="17"/>
                <w:lang w:eastAsia="es-MX"/>
              </w:rPr>
              <w:t xml:space="preserve">Surtido  constante de papelería  consistente en 15 cajas de hojas tamaño carta y 15 de tamaño oficio; 10 cajas de bicolores; 10 paquetes de post </w:t>
            </w:r>
            <w:proofErr w:type="spellStart"/>
            <w:r>
              <w:rPr>
                <w:rFonts w:asciiTheme="majorHAnsi" w:eastAsia="Times New Roman" w:hAnsiTheme="majorHAnsi" w:cstheme="majorHAnsi"/>
                <w:color w:val="000000"/>
                <w:sz w:val="17"/>
                <w:szCs w:val="17"/>
                <w:lang w:eastAsia="es-MX"/>
              </w:rPr>
              <w:t>it</w:t>
            </w:r>
            <w:proofErr w:type="spellEnd"/>
            <w:r>
              <w:rPr>
                <w:rFonts w:asciiTheme="majorHAnsi" w:eastAsia="Times New Roman" w:hAnsiTheme="majorHAnsi" w:cstheme="majorHAnsi"/>
                <w:color w:val="000000"/>
                <w:sz w:val="17"/>
                <w:szCs w:val="17"/>
                <w:lang w:eastAsia="es-MX"/>
              </w:rPr>
              <w:t xml:space="preserve">; 10 </w:t>
            </w:r>
            <w:r w:rsidRPr="00727A0E">
              <w:rPr>
                <w:rFonts w:asciiTheme="majorHAnsi" w:eastAsia="Times New Roman" w:hAnsiTheme="majorHAnsi" w:cstheme="majorHAnsi"/>
                <w:color w:val="000000"/>
                <w:sz w:val="17"/>
                <w:szCs w:val="17"/>
                <w:lang w:eastAsia="es-MX"/>
              </w:rPr>
              <w:t xml:space="preserve">paquetes de post </w:t>
            </w:r>
            <w:proofErr w:type="spellStart"/>
            <w:r w:rsidRPr="00727A0E">
              <w:rPr>
                <w:rFonts w:asciiTheme="majorHAnsi" w:eastAsia="Times New Roman" w:hAnsiTheme="majorHAnsi" w:cstheme="majorHAnsi"/>
                <w:color w:val="000000"/>
                <w:sz w:val="17"/>
                <w:szCs w:val="17"/>
                <w:lang w:eastAsia="es-MX"/>
              </w:rPr>
              <w:t>it</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señalizadores</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pestañas</w:t>
            </w:r>
            <w:proofErr w:type="spellEnd"/>
            <w:r w:rsidRPr="00727A0E">
              <w:rPr>
                <w:rFonts w:asciiTheme="majorHAnsi" w:eastAsia="Times New Roman" w:hAnsiTheme="majorHAnsi" w:cstheme="majorHAnsi"/>
                <w:color w:val="000000"/>
                <w:sz w:val="17"/>
                <w:szCs w:val="17"/>
                <w:lang w:val="en-US" w:eastAsia="es-MX"/>
              </w:rPr>
              <w:t>)</w:t>
            </w:r>
            <w:r w:rsidRPr="00727A0E">
              <w:rPr>
                <w:rFonts w:asciiTheme="majorHAnsi" w:eastAsia="Times New Roman" w:hAnsiTheme="majorHAnsi" w:cstheme="majorHAnsi"/>
                <w:color w:val="000000"/>
                <w:sz w:val="17"/>
                <w:szCs w:val="17"/>
                <w:lang w:eastAsia="es-MX"/>
              </w:rPr>
              <w:t xml:space="preserve">; 15 paquetes de </w:t>
            </w:r>
            <w:proofErr w:type="spellStart"/>
            <w:r w:rsidRPr="00727A0E">
              <w:rPr>
                <w:rFonts w:asciiTheme="majorHAnsi" w:eastAsia="Times New Roman" w:hAnsiTheme="majorHAnsi" w:cstheme="majorHAnsi"/>
                <w:color w:val="000000"/>
                <w:sz w:val="17"/>
                <w:szCs w:val="17"/>
                <w:lang w:val="en-US" w:eastAsia="es-MX"/>
              </w:rPr>
              <w:t>lapiceros</w:t>
            </w:r>
            <w:proofErr w:type="spellEnd"/>
            <w:r w:rsidRPr="00727A0E">
              <w:rPr>
                <w:rFonts w:asciiTheme="majorHAnsi" w:eastAsia="Times New Roman" w:hAnsiTheme="majorHAnsi" w:cstheme="majorHAnsi"/>
                <w:color w:val="000000"/>
                <w:sz w:val="17"/>
                <w:szCs w:val="17"/>
                <w:lang w:eastAsia="es-MX"/>
              </w:rPr>
              <w:t xml:space="preserve"> azules, negras y rojas; </w:t>
            </w:r>
            <w:r w:rsidR="00727A0E" w:rsidRPr="00727A0E">
              <w:rPr>
                <w:rFonts w:asciiTheme="majorHAnsi" w:eastAsia="Times New Roman" w:hAnsiTheme="majorHAnsi" w:cstheme="majorHAnsi"/>
                <w:color w:val="000000"/>
                <w:sz w:val="17"/>
                <w:szCs w:val="17"/>
                <w:lang w:eastAsia="es-MX"/>
              </w:rPr>
              <w:t>1</w:t>
            </w:r>
            <w:r w:rsidRPr="00727A0E">
              <w:rPr>
                <w:rFonts w:asciiTheme="majorHAnsi" w:eastAsia="Times New Roman" w:hAnsiTheme="majorHAnsi" w:cstheme="majorHAnsi"/>
                <w:color w:val="000000"/>
                <w:sz w:val="17"/>
                <w:szCs w:val="17"/>
                <w:lang w:val="en-US" w:eastAsia="es-MX"/>
              </w:rPr>
              <w:t xml:space="preserve">0 </w:t>
            </w:r>
            <w:proofErr w:type="spellStart"/>
            <w:r w:rsidR="00727A0E" w:rsidRPr="00727A0E">
              <w:rPr>
                <w:rFonts w:asciiTheme="majorHAnsi" w:eastAsia="Times New Roman" w:hAnsiTheme="majorHAnsi" w:cstheme="majorHAnsi"/>
                <w:color w:val="000000"/>
                <w:sz w:val="17"/>
                <w:szCs w:val="17"/>
                <w:lang w:val="en-US" w:eastAsia="es-MX"/>
              </w:rPr>
              <w:t>cajas</w:t>
            </w:r>
            <w:proofErr w:type="spellEnd"/>
            <w:r w:rsidR="00727A0E" w:rsidRPr="00727A0E">
              <w:rPr>
                <w:rFonts w:asciiTheme="majorHAnsi" w:eastAsia="Times New Roman" w:hAnsiTheme="majorHAnsi" w:cstheme="majorHAnsi"/>
                <w:color w:val="000000"/>
                <w:sz w:val="17"/>
                <w:szCs w:val="17"/>
                <w:lang w:val="en-US" w:eastAsia="es-MX"/>
              </w:rPr>
              <w:t xml:space="preserve"> de </w:t>
            </w:r>
            <w:proofErr w:type="spellStart"/>
            <w:r w:rsidRPr="00727A0E">
              <w:rPr>
                <w:rFonts w:asciiTheme="majorHAnsi" w:eastAsia="Times New Roman" w:hAnsiTheme="majorHAnsi" w:cstheme="majorHAnsi"/>
                <w:color w:val="000000"/>
                <w:sz w:val="17"/>
                <w:szCs w:val="17"/>
                <w:lang w:val="en-US" w:eastAsia="es-MX"/>
              </w:rPr>
              <w:t>bicolores</w:t>
            </w:r>
            <w:proofErr w:type="spellEnd"/>
            <w:r w:rsidRPr="00727A0E">
              <w:rPr>
                <w:rFonts w:asciiTheme="majorHAnsi" w:eastAsia="Times New Roman" w:hAnsiTheme="majorHAnsi" w:cstheme="majorHAnsi"/>
                <w:color w:val="000000"/>
                <w:sz w:val="17"/>
                <w:szCs w:val="17"/>
                <w:lang w:val="en-US" w:eastAsia="es-MX"/>
              </w:rPr>
              <w:t xml:space="preserve">,; 6 </w:t>
            </w:r>
            <w:proofErr w:type="spellStart"/>
            <w:r w:rsidRPr="00727A0E">
              <w:rPr>
                <w:rFonts w:asciiTheme="majorHAnsi" w:eastAsia="Times New Roman" w:hAnsiTheme="majorHAnsi" w:cstheme="majorHAnsi"/>
                <w:color w:val="000000"/>
                <w:sz w:val="17"/>
                <w:szCs w:val="17"/>
                <w:lang w:val="en-US" w:eastAsia="es-MX"/>
              </w:rPr>
              <w:t>cajas</w:t>
            </w:r>
            <w:proofErr w:type="spellEnd"/>
            <w:r w:rsidRPr="00727A0E">
              <w:rPr>
                <w:rFonts w:asciiTheme="majorHAnsi" w:eastAsia="Times New Roman" w:hAnsiTheme="majorHAnsi" w:cstheme="majorHAnsi"/>
                <w:color w:val="000000"/>
                <w:sz w:val="17"/>
                <w:szCs w:val="17"/>
                <w:lang w:val="en-US" w:eastAsia="es-MX"/>
              </w:rPr>
              <w:t xml:space="preserve"> de marc adores de </w:t>
            </w:r>
            <w:proofErr w:type="spellStart"/>
            <w:r w:rsidRPr="00727A0E">
              <w:rPr>
                <w:rFonts w:asciiTheme="majorHAnsi" w:eastAsia="Times New Roman" w:hAnsiTheme="majorHAnsi" w:cstheme="majorHAnsi"/>
                <w:color w:val="000000"/>
                <w:sz w:val="17"/>
                <w:szCs w:val="17"/>
                <w:lang w:val="en-US" w:eastAsia="es-MX"/>
              </w:rPr>
              <w:t>cera</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en</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azul</w:t>
            </w:r>
            <w:proofErr w:type="spellEnd"/>
            <w:r w:rsidRPr="00727A0E">
              <w:rPr>
                <w:rFonts w:asciiTheme="majorHAnsi" w:eastAsia="Times New Roman" w:hAnsiTheme="majorHAnsi" w:cstheme="majorHAnsi"/>
                <w:color w:val="000000"/>
                <w:sz w:val="17"/>
                <w:szCs w:val="17"/>
                <w:lang w:val="en-US" w:eastAsia="es-MX"/>
              </w:rPr>
              <w:t xml:space="preserve"> y </w:t>
            </w:r>
            <w:proofErr w:type="spellStart"/>
            <w:r w:rsidRPr="00727A0E">
              <w:rPr>
                <w:rFonts w:asciiTheme="majorHAnsi" w:eastAsia="Times New Roman" w:hAnsiTheme="majorHAnsi" w:cstheme="majorHAnsi"/>
                <w:color w:val="000000"/>
                <w:sz w:val="17"/>
                <w:szCs w:val="17"/>
                <w:lang w:val="en-US" w:eastAsia="es-MX"/>
              </w:rPr>
              <w:t>rojo</w:t>
            </w:r>
            <w:proofErr w:type="spellEnd"/>
            <w:r w:rsidRPr="00727A0E">
              <w:rPr>
                <w:rFonts w:asciiTheme="majorHAnsi" w:eastAsia="Times New Roman" w:hAnsiTheme="majorHAnsi" w:cstheme="majorHAnsi"/>
                <w:color w:val="000000"/>
                <w:sz w:val="17"/>
                <w:szCs w:val="17"/>
                <w:lang w:val="en-US" w:eastAsia="es-MX"/>
              </w:rPr>
              <w:t xml:space="preserve">; </w:t>
            </w:r>
            <w:r w:rsidRPr="00727A0E">
              <w:rPr>
                <w:rFonts w:asciiTheme="majorHAnsi" w:eastAsia="Times New Roman" w:hAnsiTheme="majorHAnsi" w:cstheme="majorHAnsi"/>
                <w:color w:val="000000"/>
                <w:sz w:val="17"/>
                <w:szCs w:val="17"/>
                <w:lang w:eastAsia="es-MX"/>
              </w:rPr>
              <w:t>2 paquetes de agujas para costurar expediente; 1 carrete de hilo para costurar expedientes; 5 paquetes de lápices; 3 cajas de diez dedales; 5 paquetes de marca textos; 15 paquetes de grapas; 5 engrapadoras; 1 paquete de grapas gruesas</w:t>
            </w:r>
            <w:r w:rsidRPr="00727A0E">
              <w:rPr>
                <w:rFonts w:asciiTheme="majorHAnsi" w:eastAsia="Times New Roman" w:hAnsiTheme="majorHAnsi" w:cstheme="majorHAnsi"/>
                <w:color w:val="000000"/>
                <w:sz w:val="17"/>
                <w:szCs w:val="17"/>
                <w:lang w:val="en-US" w:eastAsia="es-MX"/>
              </w:rPr>
              <w:t xml:space="preserve"> (para </w:t>
            </w:r>
            <w:proofErr w:type="spellStart"/>
            <w:r w:rsidRPr="00727A0E">
              <w:rPr>
                <w:rFonts w:asciiTheme="majorHAnsi" w:eastAsia="Times New Roman" w:hAnsiTheme="majorHAnsi" w:cstheme="majorHAnsi"/>
                <w:color w:val="000000"/>
                <w:sz w:val="17"/>
                <w:szCs w:val="17"/>
                <w:lang w:val="en-US" w:eastAsia="es-MX"/>
              </w:rPr>
              <w:t>engrapadora</w:t>
            </w:r>
            <w:proofErr w:type="spellEnd"/>
            <w:r w:rsidRPr="00727A0E">
              <w:rPr>
                <w:rFonts w:asciiTheme="majorHAnsi" w:eastAsia="Times New Roman" w:hAnsiTheme="majorHAnsi" w:cstheme="majorHAnsi"/>
                <w:color w:val="000000"/>
                <w:sz w:val="17"/>
                <w:szCs w:val="17"/>
                <w:lang w:val="en-US" w:eastAsia="es-MX"/>
              </w:rPr>
              <w:t xml:space="preserve"> industrial)</w:t>
            </w:r>
            <w:r w:rsidRPr="00727A0E">
              <w:rPr>
                <w:rFonts w:asciiTheme="majorHAnsi" w:eastAsia="Times New Roman" w:hAnsiTheme="majorHAnsi" w:cstheme="majorHAnsi"/>
                <w:color w:val="000000"/>
                <w:sz w:val="17"/>
                <w:szCs w:val="17"/>
                <w:lang w:eastAsia="es-MX"/>
              </w:rPr>
              <w:t xml:space="preserve">; 1 paquete de carpetas tamaño carta y oficio; </w:t>
            </w:r>
            <w:r w:rsidRPr="00727A0E">
              <w:rPr>
                <w:rFonts w:asciiTheme="majorHAnsi" w:eastAsia="Times New Roman" w:hAnsiTheme="majorHAnsi" w:cstheme="majorHAnsi"/>
                <w:color w:val="000000"/>
                <w:sz w:val="17"/>
                <w:szCs w:val="17"/>
                <w:lang w:val="en-US" w:eastAsia="es-MX"/>
              </w:rPr>
              <w:t xml:space="preserve">50 </w:t>
            </w:r>
            <w:proofErr w:type="spellStart"/>
            <w:r w:rsidRPr="00727A0E">
              <w:rPr>
                <w:rFonts w:asciiTheme="majorHAnsi" w:eastAsia="Times New Roman" w:hAnsiTheme="majorHAnsi" w:cstheme="majorHAnsi"/>
                <w:color w:val="000000"/>
                <w:sz w:val="17"/>
                <w:szCs w:val="17"/>
                <w:lang w:val="en-US" w:eastAsia="es-MX"/>
              </w:rPr>
              <w:t>sobres</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tamaño</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oficio</w:t>
            </w:r>
            <w:proofErr w:type="spellEnd"/>
            <w:r w:rsidRPr="00727A0E">
              <w:rPr>
                <w:rFonts w:asciiTheme="majorHAnsi" w:eastAsia="Times New Roman" w:hAnsiTheme="majorHAnsi" w:cstheme="majorHAnsi"/>
                <w:color w:val="000000"/>
                <w:sz w:val="17"/>
                <w:szCs w:val="17"/>
                <w:lang w:val="en-US" w:eastAsia="es-MX"/>
              </w:rPr>
              <w:t xml:space="preserve">; 1 </w:t>
            </w:r>
            <w:proofErr w:type="spellStart"/>
            <w:r w:rsidRPr="00727A0E">
              <w:rPr>
                <w:rFonts w:asciiTheme="majorHAnsi" w:eastAsia="Times New Roman" w:hAnsiTheme="majorHAnsi" w:cstheme="majorHAnsi"/>
                <w:color w:val="000000"/>
                <w:sz w:val="17"/>
                <w:szCs w:val="17"/>
                <w:lang w:val="en-US" w:eastAsia="es-MX"/>
              </w:rPr>
              <w:t>paquete</w:t>
            </w:r>
            <w:proofErr w:type="spellEnd"/>
            <w:r w:rsidRPr="00727A0E">
              <w:rPr>
                <w:rFonts w:asciiTheme="majorHAnsi" w:eastAsia="Times New Roman" w:hAnsiTheme="majorHAnsi" w:cstheme="majorHAnsi"/>
                <w:color w:val="000000"/>
                <w:sz w:val="17"/>
                <w:szCs w:val="17"/>
                <w:lang w:val="en-US" w:eastAsia="es-MX"/>
              </w:rPr>
              <w:t xml:space="preserve"> (20 </w:t>
            </w:r>
            <w:proofErr w:type="spellStart"/>
            <w:r w:rsidRPr="00727A0E">
              <w:rPr>
                <w:rFonts w:asciiTheme="majorHAnsi" w:eastAsia="Times New Roman" w:hAnsiTheme="majorHAnsi" w:cstheme="majorHAnsi"/>
                <w:color w:val="000000"/>
                <w:sz w:val="17"/>
                <w:szCs w:val="17"/>
                <w:lang w:val="en-US" w:eastAsia="es-MX"/>
              </w:rPr>
              <w:t>pza</w:t>
            </w:r>
            <w:proofErr w:type="spellEnd"/>
            <w:r w:rsidRPr="00727A0E">
              <w:rPr>
                <w:rFonts w:asciiTheme="majorHAnsi" w:eastAsia="Times New Roman" w:hAnsiTheme="majorHAnsi" w:cstheme="majorHAnsi"/>
                <w:color w:val="000000"/>
                <w:sz w:val="17"/>
                <w:szCs w:val="17"/>
                <w:lang w:val="en-US" w:eastAsia="es-MX"/>
              </w:rPr>
              <w:t xml:space="preserve">) de </w:t>
            </w:r>
            <w:proofErr w:type="spellStart"/>
            <w:r w:rsidRPr="00727A0E">
              <w:rPr>
                <w:rFonts w:asciiTheme="majorHAnsi" w:eastAsia="Times New Roman" w:hAnsiTheme="majorHAnsi" w:cstheme="majorHAnsi"/>
                <w:color w:val="000000"/>
                <w:sz w:val="17"/>
                <w:szCs w:val="17"/>
                <w:lang w:val="en-US" w:eastAsia="es-MX"/>
              </w:rPr>
              <w:t>sobres</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tamaño</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radiográfia</w:t>
            </w:r>
            <w:proofErr w:type="spellEnd"/>
            <w:r w:rsidRPr="00727A0E">
              <w:rPr>
                <w:rFonts w:asciiTheme="majorHAnsi" w:eastAsia="Times New Roman" w:hAnsiTheme="majorHAnsi" w:cstheme="majorHAnsi"/>
                <w:color w:val="000000"/>
                <w:sz w:val="17"/>
                <w:szCs w:val="17"/>
                <w:lang w:val="en-US" w:eastAsia="es-MX"/>
              </w:rPr>
              <w:t xml:space="preserve">, </w:t>
            </w:r>
            <w:r w:rsidRPr="00727A0E">
              <w:rPr>
                <w:rFonts w:asciiTheme="majorHAnsi" w:eastAsia="Times New Roman" w:hAnsiTheme="majorHAnsi" w:cstheme="majorHAnsi"/>
                <w:color w:val="000000"/>
                <w:sz w:val="17"/>
                <w:szCs w:val="17"/>
                <w:lang w:eastAsia="es-MX"/>
              </w:rPr>
              <w:t>10 paquetes de clips; 5 paquetes de memorias; 10 libretas; 5 uñas para retiro de grapas; 2 cintas adhesivas; 3</w:t>
            </w:r>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torre</w:t>
            </w:r>
            <w:proofErr w:type="spellEnd"/>
            <w:r w:rsidRPr="00727A0E">
              <w:rPr>
                <w:rFonts w:asciiTheme="majorHAnsi" w:eastAsia="Times New Roman" w:hAnsiTheme="majorHAnsi" w:cstheme="majorHAnsi"/>
                <w:color w:val="000000"/>
                <w:sz w:val="17"/>
                <w:szCs w:val="17"/>
                <w:lang w:eastAsia="es-MX"/>
              </w:rPr>
              <w:t>s de Discos CD-ROM y DVD</w:t>
            </w:r>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así</w:t>
            </w:r>
            <w:proofErr w:type="spellEnd"/>
            <w:r w:rsidRPr="00727A0E">
              <w:rPr>
                <w:rFonts w:asciiTheme="majorHAnsi" w:eastAsia="Times New Roman" w:hAnsiTheme="majorHAnsi" w:cstheme="majorHAnsi"/>
                <w:color w:val="000000"/>
                <w:sz w:val="17"/>
                <w:szCs w:val="17"/>
                <w:lang w:val="en-US" w:eastAsia="es-MX"/>
              </w:rPr>
              <w:t xml:space="preserve"> </w:t>
            </w:r>
            <w:proofErr w:type="spellStart"/>
            <w:r w:rsidRPr="00727A0E">
              <w:rPr>
                <w:rFonts w:asciiTheme="majorHAnsi" w:eastAsia="Times New Roman" w:hAnsiTheme="majorHAnsi" w:cstheme="majorHAnsi"/>
                <w:color w:val="000000"/>
                <w:sz w:val="17"/>
                <w:szCs w:val="17"/>
                <w:lang w:val="en-US" w:eastAsia="es-MX"/>
              </w:rPr>
              <w:t>como</w:t>
            </w:r>
            <w:proofErr w:type="spellEnd"/>
            <w:r w:rsidRPr="00727A0E">
              <w:rPr>
                <w:rFonts w:asciiTheme="majorHAnsi" w:eastAsia="Times New Roman" w:hAnsiTheme="majorHAnsi" w:cstheme="majorHAnsi"/>
                <w:color w:val="000000"/>
                <w:sz w:val="17"/>
                <w:szCs w:val="17"/>
                <w:lang w:val="en-US" w:eastAsia="es-MX"/>
              </w:rPr>
              <w:t xml:space="preserve"> 2 </w:t>
            </w:r>
            <w:proofErr w:type="spellStart"/>
            <w:r w:rsidRPr="00727A0E">
              <w:rPr>
                <w:rFonts w:asciiTheme="majorHAnsi" w:eastAsia="Times New Roman" w:hAnsiTheme="majorHAnsi" w:cstheme="majorHAnsi"/>
                <w:color w:val="000000"/>
                <w:sz w:val="17"/>
                <w:szCs w:val="17"/>
                <w:lang w:val="en-US" w:eastAsia="es-MX"/>
              </w:rPr>
              <w:t>cajas</w:t>
            </w:r>
            <w:proofErr w:type="spellEnd"/>
            <w:r w:rsidRPr="00727A0E">
              <w:rPr>
                <w:rFonts w:asciiTheme="majorHAnsi" w:eastAsia="Times New Roman" w:hAnsiTheme="majorHAnsi" w:cstheme="majorHAnsi"/>
                <w:color w:val="000000"/>
                <w:sz w:val="17"/>
                <w:szCs w:val="17"/>
                <w:lang w:val="en-US" w:eastAsia="es-MX"/>
              </w:rPr>
              <w:t xml:space="preserve"> con 100 sobers </w:t>
            </w:r>
            <w:proofErr w:type="spellStart"/>
            <w:r w:rsidRPr="00727A0E">
              <w:rPr>
                <w:rFonts w:asciiTheme="majorHAnsi" w:eastAsia="Times New Roman" w:hAnsiTheme="majorHAnsi" w:cstheme="majorHAnsi"/>
                <w:color w:val="000000"/>
                <w:sz w:val="17"/>
                <w:szCs w:val="17"/>
                <w:lang w:val="en-US" w:eastAsia="es-MX"/>
              </w:rPr>
              <w:t>blancos</w:t>
            </w:r>
            <w:proofErr w:type="spellEnd"/>
            <w:r w:rsidRPr="00727A0E">
              <w:rPr>
                <w:rFonts w:asciiTheme="majorHAnsi" w:eastAsia="Times New Roman" w:hAnsiTheme="majorHAnsi" w:cstheme="majorHAnsi"/>
                <w:color w:val="000000"/>
                <w:sz w:val="17"/>
                <w:szCs w:val="17"/>
                <w:lang w:val="en-US" w:eastAsia="es-MX"/>
              </w:rPr>
              <w:t xml:space="preserve"> para disco</w:t>
            </w:r>
            <w:r w:rsidRPr="00727A0E">
              <w:rPr>
                <w:rFonts w:asciiTheme="majorHAnsi" w:eastAsia="Times New Roman" w:hAnsiTheme="majorHAnsi" w:cstheme="majorHAnsi"/>
                <w:color w:val="000000"/>
                <w:sz w:val="17"/>
                <w:szCs w:val="17"/>
                <w:lang w:eastAsia="es-MX"/>
              </w:rPr>
              <w:t>; y  paquete</w:t>
            </w:r>
            <w:r>
              <w:rPr>
                <w:rFonts w:asciiTheme="majorHAnsi" w:eastAsia="Times New Roman" w:hAnsiTheme="majorHAnsi" w:cstheme="majorHAnsi"/>
                <w:color w:val="000000"/>
                <w:sz w:val="17"/>
                <w:szCs w:val="17"/>
                <w:lang w:eastAsia="es-MX"/>
              </w:rPr>
              <w:t xml:space="preserve"> de plumones para pizarrón; </w:t>
            </w:r>
          </w:p>
        </w:tc>
        <w:tc>
          <w:tcPr>
            <w:tcW w:w="1701" w:type="dxa"/>
            <w:tcBorders>
              <w:top w:val="nil"/>
              <w:left w:val="nil"/>
              <w:bottom w:val="single" w:sz="4" w:space="0" w:color="auto"/>
              <w:right w:val="single" w:sz="4" w:space="0" w:color="auto"/>
            </w:tcBorders>
            <w:shd w:val="clear" w:color="auto" w:fill="auto"/>
            <w:noWrap/>
            <w:vAlign w:val="bottom"/>
          </w:tcPr>
          <w:p w14:paraId="7C4EAB9A"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 xml:space="preserve">Integración de expedientes. </w:t>
            </w:r>
          </w:p>
        </w:tc>
      </w:tr>
      <w:tr w:rsidR="00BC541B" w14:paraId="48D4AAE5"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20EBD8"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lastRenderedPageBreak/>
              <w:t>Instruir los expedientes que le corresponde a la Unidad Técnica Jurídica y Contencioso Electoral</w:t>
            </w:r>
          </w:p>
        </w:tc>
        <w:tc>
          <w:tcPr>
            <w:tcW w:w="425" w:type="dxa"/>
            <w:tcBorders>
              <w:top w:val="nil"/>
              <w:left w:val="nil"/>
              <w:bottom w:val="single" w:sz="4" w:space="0" w:color="auto"/>
              <w:right w:val="single" w:sz="4" w:space="0" w:color="auto"/>
            </w:tcBorders>
            <w:shd w:val="clear" w:color="auto" w:fill="auto"/>
            <w:noWrap/>
            <w:vAlign w:val="bottom"/>
          </w:tcPr>
          <w:p w14:paraId="6904B40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47A71F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1873D8C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F4FB9B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09535A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738A8D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3B1A05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060DC7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EF7416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E95341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CFCEBA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DE9BC4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6AE83892"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 </w:t>
            </w: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xml:space="preserve">: 11 personas de carácter eventual con conocimiento en el área de actividades. </w:t>
            </w:r>
          </w:p>
        </w:tc>
        <w:tc>
          <w:tcPr>
            <w:tcW w:w="1701" w:type="dxa"/>
            <w:tcBorders>
              <w:top w:val="nil"/>
              <w:left w:val="nil"/>
              <w:bottom w:val="single" w:sz="4" w:space="0" w:color="auto"/>
              <w:right w:val="single" w:sz="4" w:space="0" w:color="auto"/>
            </w:tcBorders>
            <w:shd w:val="clear" w:color="auto" w:fill="auto"/>
            <w:noWrap/>
            <w:vAlign w:val="bottom"/>
          </w:tcPr>
          <w:p w14:paraId="69CF17E5"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Integración de expedientes.</w:t>
            </w:r>
          </w:p>
        </w:tc>
      </w:tr>
      <w:tr w:rsidR="007538F2" w14:paraId="684E7E31"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C1DF6" w14:textId="7E6ABCEB" w:rsidR="007538F2" w:rsidRDefault="007538F2">
            <w:pPr>
              <w:spacing w:after="0" w:line="240" w:lineRule="auto"/>
              <w:jc w:val="both"/>
              <w:rPr>
                <w:rFonts w:asciiTheme="majorHAnsi" w:hAnsiTheme="majorHAnsi" w:cstheme="majorHAnsi"/>
                <w:color w:val="000000" w:themeColor="text1"/>
                <w:sz w:val="17"/>
                <w:szCs w:val="17"/>
              </w:rPr>
            </w:pPr>
            <w:r w:rsidRPr="007538F2">
              <w:rPr>
                <w:rFonts w:asciiTheme="majorHAnsi" w:hAnsiTheme="majorHAnsi" w:cstheme="majorHAnsi"/>
                <w:color w:val="000000" w:themeColor="text1"/>
                <w:sz w:val="17"/>
                <w:szCs w:val="17"/>
              </w:rPr>
              <w:t>Sustanciar los procedimientos por incumplimiento de obligaciones en materia de transparencia</w:t>
            </w:r>
            <w:r w:rsidR="00E54E73">
              <w:rPr>
                <w:rFonts w:asciiTheme="majorHAnsi" w:hAnsiTheme="majorHAnsi" w:cstheme="majorHAnsi"/>
                <w:color w:val="000000" w:themeColor="text1"/>
                <w:sz w:val="17"/>
                <w:szCs w:val="17"/>
              </w:rPr>
              <w:t xml:space="preserve"> de los partidos políticos. </w:t>
            </w:r>
          </w:p>
        </w:tc>
        <w:tc>
          <w:tcPr>
            <w:tcW w:w="425" w:type="dxa"/>
            <w:tcBorders>
              <w:top w:val="nil"/>
              <w:left w:val="nil"/>
              <w:bottom w:val="single" w:sz="4" w:space="0" w:color="auto"/>
              <w:right w:val="single" w:sz="4" w:space="0" w:color="auto"/>
            </w:tcBorders>
            <w:shd w:val="clear" w:color="auto" w:fill="auto"/>
            <w:noWrap/>
            <w:vAlign w:val="bottom"/>
          </w:tcPr>
          <w:p w14:paraId="79E65C4D" w14:textId="40B05F55"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156FF26E" w14:textId="4946093C"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02B43491" w14:textId="1EDD15F8"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5651408B" w14:textId="22A09666"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0625F23D" w14:textId="05B68F97"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8CABB30" w14:textId="47AF40BD"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147C2703" w14:textId="295364EF"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79F15A41" w14:textId="7F53E93B"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3B206A59" w14:textId="5127766B"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659CA030" w14:textId="71F6B59E"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44BA32B2" w14:textId="20A26AEE"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397" w:type="dxa"/>
            <w:tcBorders>
              <w:top w:val="nil"/>
              <w:left w:val="nil"/>
              <w:bottom w:val="single" w:sz="4" w:space="0" w:color="auto"/>
              <w:right w:val="single" w:sz="4" w:space="0" w:color="auto"/>
            </w:tcBorders>
            <w:shd w:val="clear" w:color="auto" w:fill="auto"/>
            <w:noWrap/>
            <w:vAlign w:val="bottom"/>
          </w:tcPr>
          <w:p w14:paraId="3637A7AA" w14:textId="11ED021B" w:rsidR="007538F2" w:rsidRPr="007538F2" w:rsidRDefault="007538F2">
            <w:pPr>
              <w:spacing w:after="0" w:line="240" w:lineRule="auto"/>
              <w:rPr>
                <w:rFonts w:ascii="Calibri" w:eastAsia="Times New Roman" w:hAnsi="Calibri" w:cs="Calibri"/>
                <w:b/>
                <w:bCs/>
                <w:color w:val="000000"/>
                <w:sz w:val="20"/>
                <w:szCs w:val="20"/>
                <w:lang w:eastAsia="es-MX"/>
              </w:rPr>
            </w:pPr>
            <w:r w:rsidRPr="007538F2">
              <w:rPr>
                <w:rFonts w:ascii="Calibri" w:eastAsia="Times New Roman" w:hAnsi="Calibri" w:cs="Calibri"/>
                <w:b/>
                <w:bCs/>
                <w:color w:val="000000"/>
                <w:sz w:val="20"/>
                <w:szCs w:val="20"/>
                <w:lang w:eastAsia="es-MX"/>
              </w:rPr>
              <w:t>x</w:t>
            </w:r>
          </w:p>
        </w:tc>
        <w:tc>
          <w:tcPr>
            <w:tcW w:w="1870" w:type="dxa"/>
            <w:tcBorders>
              <w:top w:val="nil"/>
              <w:left w:val="nil"/>
              <w:bottom w:val="single" w:sz="4" w:space="0" w:color="auto"/>
              <w:right w:val="single" w:sz="4" w:space="0" w:color="auto"/>
            </w:tcBorders>
            <w:shd w:val="clear" w:color="auto" w:fill="auto"/>
            <w:noWrap/>
            <w:vAlign w:val="bottom"/>
          </w:tcPr>
          <w:p w14:paraId="1027E5CC" w14:textId="34EC4473" w:rsidR="007538F2" w:rsidRDefault="007538F2">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xml:space="preserve">: </w:t>
            </w:r>
            <w:r w:rsidR="00E54E73">
              <w:rPr>
                <w:rFonts w:asciiTheme="majorHAnsi" w:eastAsia="Times New Roman" w:hAnsiTheme="majorHAnsi" w:cstheme="majorHAnsi"/>
                <w:color w:val="000000"/>
                <w:sz w:val="17"/>
                <w:szCs w:val="17"/>
                <w:lang w:eastAsia="es-MX"/>
              </w:rPr>
              <w:t>2</w:t>
            </w:r>
            <w:r>
              <w:rPr>
                <w:rFonts w:asciiTheme="majorHAnsi" w:eastAsia="Times New Roman" w:hAnsiTheme="majorHAnsi" w:cstheme="majorHAnsi"/>
                <w:color w:val="000000"/>
                <w:sz w:val="17"/>
                <w:szCs w:val="17"/>
                <w:lang w:eastAsia="es-MX"/>
              </w:rPr>
              <w:t xml:space="preserve"> persona</w:t>
            </w:r>
            <w:r w:rsidR="00E54E73">
              <w:rPr>
                <w:rFonts w:asciiTheme="majorHAnsi" w:eastAsia="Times New Roman" w:hAnsiTheme="majorHAnsi" w:cstheme="majorHAnsi"/>
                <w:color w:val="000000"/>
                <w:sz w:val="17"/>
                <w:szCs w:val="17"/>
                <w:lang w:eastAsia="es-MX"/>
              </w:rPr>
              <w:t>s</w:t>
            </w:r>
            <w:r>
              <w:rPr>
                <w:rFonts w:asciiTheme="majorHAnsi" w:eastAsia="Times New Roman" w:hAnsiTheme="majorHAnsi" w:cstheme="majorHAnsi"/>
                <w:color w:val="000000"/>
                <w:sz w:val="17"/>
                <w:szCs w:val="17"/>
                <w:lang w:eastAsia="es-MX"/>
              </w:rPr>
              <w:t xml:space="preserve"> de carácter eventual con conocimiento en el área de actividades. </w:t>
            </w:r>
          </w:p>
        </w:tc>
        <w:tc>
          <w:tcPr>
            <w:tcW w:w="1701" w:type="dxa"/>
            <w:tcBorders>
              <w:top w:val="nil"/>
              <w:left w:val="nil"/>
              <w:bottom w:val="single" w:sz="4" w:space="0" w:color="auto"/>
              <w:right w:val="single" w:sz="4" w:space="0" w:color="auto"/>
            </w:tcBorders>
            <w:shd w:val="clear" w:color="auto" w:fill="auto"/>
            <w:noWrap/>
            <w:vAlign w:val="bottom"/>
          </w:tcPr>
          <w:p w14:paraId="65A7900F" w14:textId="77777777" w:rsidR="007538F2" w:rsidRDefault="007538F2">
            <w:pPr>
              <w:spacing w:after="0" w:line="240" w:lineRule="auto"/>
              <w:jc w:val="both"/>
              <w:rPr>
                <w:rFonts w:asciiTheme="majorHAnsi" w:eastAsia="Times New Roman" w:hAnsiTheme="majorHAnsi" w:cstheme="majorHAnsi"/>
                <w:color w:val="000000"/>
                <w:sz w:val="17"/>
                <w:szCs w:val="17"/>
                <w:lang w:eastAsia="es-MX"/>
              </w:rPr>
            </w:pPr>
          </w:p>
        </w:tc>
      </w:tr>
      <w:tr w:rsidR="00BC541B" w14:paraId="410CB0AA"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ACF2F4"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Elaboración de los oficios necesarios para el trámite de las diligencias ordenadas por la comisión</w:t>
            </w:r>
          </w:p>
        </w:tc>
        <w:tc>
          <w:tcPr>
            <w:tcW w:w="425" w:type="dxa"/>
            <w:tcBorders>
              <w:top w:val="nil"/>
              <w:left w:val="nil"/>
              <w:bottom w:val="single" w:sz="4" w:space="0" w:color="auto"/>
              <w:right w:val="single" w:sz="4" w:space="0" w:color="auto"/>
            </w:tcBorders>
            <w:shd w:val="clear" w:color="auto" w:fill="auto"/>
            <w:noWrap/>
            <w:vAlign w:val="bottom"/>
          </w:tcPr>
          <w:p w14:paraId="02F1335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A4C3D8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9E0DCC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282976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6F6635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354CF6A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49FA23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5B1FC6C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D19276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90A020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FFC650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60BD07C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4EE01A49"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sidRPr="00727A0E">
              <w:rPr>
                <w:rFonts w:asciiTheme="majorHAnsi" w:eastAsia="Times New Roman" w:hAnsiTheme="majorHAnsi" w:cstheme="majorHAnsi"/>
                <w:color w:val="000000"/>
                <w:sz w:val="17"/>
                <w:szCs w:val="17"/>
                <w:lang w:eastAsia="es-MX"/>
              </w:rPr>
              <w:t>: 5</w:t>
            </w:r>
            <w:r>
              <w:rPr>
                <w:rFonts w:asciiTheme="majorHAnsi" w:eastAsia="Times New Roman" w:hAnsiTheme="majorHAnsi" w:cstheme="majorHAnsi"/>
                <w:color w:val="000000"/>
                <w:sz w:val="17"/>
                <w:szCs w:val="17"/>
                <w:lang w:eastAsia="es-MX"/>
              </w:rPr>
              <w:t xml:space="preserve"> personas de carácter eventual con conocimiento en el área de actividades.</w:t>
            </w:r>
          </w:p>
        </w:tc>
        <w:tc>
          <w:tcPr>
            <w:tcW w:w="1701" w:type="dxa"/>
            <w:tcBorders>
              <w:top w:val="nil"/>
              <w:left w:val="nil"/>
              <w:bottom w:val="single" w:sz="4" w:space="0" w:color="auto"/>
              <w:right w:val="single" w:sz="4" w:space="0" w:color="auto"/>
            </w:tcBorders>
            <w:shd w:val="clear" w:color="auto" w:fill="auto"/>
            <w:noWrap/>
            <w:vAlign w:val="bottom"/>
          </w:tcPr>
          <w:p w14:paraId="065D36D1"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Integración de expedientes.</w:t>
            </w:r>
          </w:p>
        </w:tc>
      </w:tr>
      <w:tr w:rsidR="00BC541B" w14:paraId="27317AFF"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E24134"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Práctica de notificaciones y emplazamientos realizados a las partes en todo el Estado.</w:t>
            </w:r>
          </w:p>
        </w:tc>
        <w:tc>
          <w:tcPr>
            <w:tcW w:w="425" w:type="dxa"/>
            <w:tcBorders>
              <w:top w:val="nil"/>
              <w:left w:val="nil"/>
              <w:bottom w:val="single" w:sz="4" w:space="0" w:color="auto"/>
              <w:right w:val="single" w:sz="4" w:space="0" w:color="auto"/>
            </w:tcBorders>
            <w:shd w:val="clear" w:color="auto" w:fill="auto"/>
            <w:noWrap/>
            <w:vAlign w:val="bottom"/>
          </w:tcPr>
          <w:p w14:paraId="68EC1A6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4BD588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EF90F1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3C521C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CAE88A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EBCED3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0E6526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3EF4A61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A959F2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9081F6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7A9394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320880D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0B4281CF"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 xml:space="preserve">Recursos </w:t>
            </w:r>
            <w:r w:rsidRPr="00BC4BD1">
              <w:rPr>
                <w:rFonts w:asciiTheme="majorHAnsi" w:eastAsia="Times New Roman" w:hAnsiTheme="majorHAnsi" w:cstheme="majorHAnsi"/>
                <w:b/>
                <w:bCs/>
                <w:color w:val="000000"/>
                <w:sz w:val="17"/>
                <w:szCs w:val="17"/>
                <w:lang w:eastAsia="es-MX"/>
              </w:rPr>
              <w:t>materiales</w:t>
            </w:r>
            <w:r w:rsidRPr="00BC4BD1">
              <w:rPr>
                <w:rFonts w:asciiTheme="majorHAnsi" w:eastAsia="Times New Roman" w:hAnsiTheme="majorHAnsi" w:cstheme="majorHAnsi"/>
                <w:color w:val="000000"/>
                <w:sz w:val="17"/>
                <w:szCs w:val="17"/>
                <w:lang w:eastAsia="es-MX"/>
              </w:rPr>
              <w:t xml:space="preserve">: </w:t>
            </w:r>
            <w:r w:rsidRPr="00BC4BD1">
              <w:rPr>
                <w:rFonts w:asciiTheme="majorHAnsi" w:eastAsia="Times New Roman" w:hAnsiTheme="majorHAnsi" w:cstheme="majorHAnsi"/>
                <w:color w:val="000000"/>
                <w:sz w:val="17"/>
                <w:szCs w:val="17"/>
                <w:lang w:val="en-US" w:eastAsia="es-MX"/>
              </w:rPr>
              <w:t>4</w:t>
            </w:r>
            <w:r w:rsidRPr="00BC4BD1">
              <w:rPr>
                <w:rFonts w:asciiTheme="majorHAnsi" w:eastAsia="Times New Roman" w:hAnsiTheme="majorHAnsi" w:cstheme="majorHAnsi"/>
                <w:color w:val="000000"/>
                <w:sz w:val="17"/>
                <w:szCs w:val="17"/>
                <w:lang w:eastAsia="es-MX"/>
              </w:rPr>
              <w:t xml:space="preserve"> vehículos para la práctica</w:t>
            </w:r>
            <w:r>
              <w:rPr>
                <w:rFonts w:asciiTheme="majorHAnsi" w:eastAsia="Times New Roman" w:hAnsiTheme="majorHAnsi" w:cstheme="majorHAnsi"/>
                <w:color w:val="000000"/>
                <w:sz w:val="17"/>
                <w:szCs w:val="17"/>
                <w:lang w:eastAsia="es-MX"/>
              </w:rPr>
              <w:t xml:space="preserve"> de notificaciones en todo el Estado</w:t>
            </w:r>
            <w:r w:rsidRPr="00DB1018">
              <w:rPr>
                <w:rFonts w:asciiTheme="majorHAnsi" w:eastAsia="Times New Roman" w:hAnsiTheme="majorHAnsi" w:cstheme="majorHAnsi"/>
                <w:color w:val="000000"/>
                <w:sz w:val="17"/>
                <w:szCs w:val="17"/>
                <w:lang w:eastAsia="es-MX"/>
              </w:rPr>
              <w:t xml:space="preserve">, y proporcionar viáticos necesarios para </w:t>
            </w:r>
            <w:proofErr w:type="spellStart"/>
            <w:r w:rsidRPr="00DB1018">
              <w:rPr>
                <w:rFonts w:asciiTheme="majorHAnsi" w:eastAsia="Times New Roman" w:hAnsiTheme="majorHAnsi" w:cstheme="majorHAnsi"/>
                <w:color w:val="000000"/>
                <w:sz w:val="17"/>
                <w:szCs w:val="17"/>
                <w:lang w:val="en-US" w:eastAsia="es-MX"/>
              </w:rPr>
              <w:t>el</w:t>
            </w:r>
            <w:proofErr w:type="spellEnd"/>
            <w:r w:rsidRPr="00DB1018">
              <w:rPr>
                <w:rFonts w:asciiTheme="majorHAnsi" w:eastAsia="Times New Roman" w:hAnsiTheme="majorHAnsi" w:cstheme="majorHAnsi"/>
                <w:color w:val="000000"/>
                <w:sz w:val="17"/>
                <w:szCs w:val="17"/>
                <w:lang w:val="en-US" w:eastAsia="es-MX"/>
              </w:rPr>
              <w:t xml:space="preserve"> </w:t>
            </w:r>
            <w:proofErr w:type="spellStart"/>
            <w:r w:rsidRPr="00DB1018">
              <w:rPr>
                <w:rFonts w:asciiTheme="majorHAnsi" w:eastAsia="Times New Roman" w:hAnsiTheme="majorHAnsi" w:cstheme="majorHAnsi"/>
                <w:color w:val="000000"/>
                <w:sz w:val="17"/>
                <w:szCs w:val="17"/>
                <w:lang w:val="en-US" w:eastAsia="es-MX"/>
              </w:rPr>
              <w:t>cumplimiento</w:t>
            </w:r>
            <w:proofErr w:type="spellEnd"/>
            <w:r w:rsidRPr="00DB1018">
              <w:rPr>
                <w:rFonts w:asciiTheme="majorHAnsi" w:eastAsia="Times New Roman" w:hAnsiTheme="majorHAnsi" w:cstheme="majorHAnsi"/>
                <w:color w:val="000000"/>
                <w:sz w:val="17"/>
                <w:szCs w:val="17"/>
                <w:lang w:val="en-US" w:eastAsia="es-MX"/>
              </w:rPr>
              <w:t xml:space="preserve"> de </w:t>
            </w:r>
            <w:proofErr w:type="spellStart"/>
            <w:r w:rsidRPr="00DB1018">
              <w:rPr>
                <w:rFonts w:asciiTheme="majorHAnsi" w:eastAsia="Times New Roman" w:hAnsiTheme="majorHAnsi" w:cstheme="majorHAnsi"/>
                <w:color w:val="000000"/>
                <w:sz w:val="17"/>
                <w:szCs w:val="17"/>
                <w:lang w:val="en-US" w:eastAsia="es-MX"/>
              </w:rPr>
              <w:t>notificaciones</w:t>
            </w:r>
            <w:proofErr w:type="spellEnd"/>
            <w:r w:rsidRPr="00DB1018">
              <w:rPr>
                <w:rFonts w:asciiTheme="majorHAnsi" w:eastAsia="Times New Roman" w:hAnsiTheme="majorHAnsi" w:cstheme="majorHAnsi"/>
                <w:color w:val="000000"/>
                <w:sz w:val="17"/>
                <w:szCs w:val="17"/>
                <w:lang w:eastAsia="es-MX"/>
              </w:rPr>
              <w:t>.</w:t>
            </w:r>
          </w:p>
        </w:tc>
        <w:tc>
          <w:tcPr>
            <w:tcW w:w="1701" w:type="dxa"/>
            <w:tcBorders>
              <w:top w:val="nil"/>
              <w:left w:val="nil"/>
              <w:bottom w:val="single" w:sz="4" w:space="0" w:color="auto"/>
              <w:right w:val="single" w:sz="4" w:space="0" w:color="auto"/>
            </w:tcBorders>
            <w:shd w:val="clear" w:color="auto" w:fill="auto"/>
            <w:noWrap/>
            <w:vAlign w:val="bottom"/>
          </w:tcPr>
          <w:p w14:paraId="117A984D"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Integración de expedientes.</w:t>
            </w:r>
          </w:p>
        </w:tc>
      </w:tr>
      <w:tr w:rsidR="00BC541B" w14:paraId="2F9895AC"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4844E1"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Instruir los expedientes que le corresponde a la Unidad Técnica Jurídica y Contencioso Electoral</w:t>
            </w:r>
          </w:p>
        </w:tc>
        <w:tc>
          <w:tcPr>
            <w:tcW w:w="425" w:type="dxa"/>
            <w:tcBorders>
              <w:top w:val="nil"/>
              <w:left w:val="nil"/>
              <w:bottom w:val="single" w:sz="4" w:space="0" w:color="auto"/>
              <w:right w:val="single" w:sz="4" w:space="0" w:color="auto"/>
            </w:tcBorders>
            <w:shd w:val="clear" w:color="auto" w:fill="auto"/>
            <w:noWrap/>
            <w:vAlign w:val="bottom"/>
          </w:tcPr>
          <w:p w14:paraId="5F87471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3BE8DD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054B7E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6D1F7B8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6BD37BE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B45493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C16F6B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38045AC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A1B148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BF04F0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D145EE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418AFB2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0BD1B241" w14:textId="09BCE009" w:rsidR="00BC541B" w:rsidRDefault="001277CA">
            <w:pPr>
              <w:spacing w:after="0" w:line="240" w:lineRule="auto"/>
              <w:jc w:val="both"/>
              <w:rPr>
                <w:rFonts w:asciiTheme="majorHAnsi" w:eastAsia="Times New Roman" w:hAnsiTheme="majorHAnsi" w:cstheme="majorHAnsi"/>
                <w:color w:val="000000"/>
                <w:sz w:val="17"/>
                <w:szCs w:val="17"/>
                <w:highlight w:val="green"/>
                <w:lang w:eastAsia="es-MX"/>
              </w:rPr>
            </w:pPr>
            <w:r>
              <w:rPr>
                <w:rFonts w:asciiTheme="majorHAnsi" w:eastAsia="Times New Roman" w:hAnsiTheme="majorHAnsi" w:cstheme="majorHAnsi"/>
                <w:b/>
                <w:bCs/>
                <w:color w:val="000000"/>
                <w:sz w:val="17"/>
                <w:szCs w:val="17"/>
                <w:lang w:eastAsia="es-MX"/>
              </w:rPr>
              <w:t>Recursos materiales</w:t>
            </w:r>
            <w:r>
              <w:rPr>
                <w:rFonts w:asciiTheme="majorHAnsi" w:eastAsia="Times New Roman" w:hAnsiTheme="majorHAnsi" w:cstheme="majorHAnsi"/>
                <w:color w:val="000000"/>
                <w:sz w:val="17"/>
                <w:szCs w:val="17"/>
                <w:lang w:eastAsia="es-MX"/>
              </w:rPr>
              <w:t xml:space="preserve">: Renta de 20 equipos de cómputo para todo el personal de la Unidad. </w:t>
            </w:r>
          </w:p>
        </w:tc>
        <w:tc>
          <w:tcPr>
            <w:tcW w:w="1701" w:type="dxa"/>
            <w:tcBorders>
              <w:top w:val="nil"/>
              <w:left w:val="nil"/>
              <w:bottom w:val="single" w:sz="4" w:space="0" w:color="auto"/>
              <w:right w:val="single" w:sz="4" w:space="0" w:color="auto"/>
            </w:tcBorders>
            <w:shd w:val="clear" w:color="auto" w:fill="auto"/>
            <w:noWrap/>
            <w:vAlign w:val="bottom"/>
          </w:tcPr>
          <w:p w14:paraId="06B02C1A" w14:textId="77777777" w:rsidR="00BC541B" w:rsidRDefault="001277CA">
            <w:pPr>
              <w:spacing w:after="0" w:line="240" w:lineRule="auto"/>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Integración de expedientes.</w:t>
            </w:r>
          </w:p>
        </w:tc>
      </w:tr>
      <w:tr w:rsidR="00BC541B" w14:paraId="51E604E1"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B2B21E"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Actividades de fotocopiado o digitalización de información que obra en los expedientes, para su notificación a los denunciados y promoventes, como parte del trámite de los asuntos del índice de la Comisión de Quejas y Denuncias.</w:t>
            </w:r>
          </w:p>
        </w:tc>
        <w:tc>
          <w:tcPr>
            <w:tcW w:w="425" w:type="dxa"/>
            <w:tcBorders>
              <w:top w:val="nil"/>
              <w:left w:val="nil"/>
              <w:bottom w:val="single" w:sz="4" w:space="0" w:color="auto"/>
              <w:right w:val="single" w:sz="4" w:space="0" w:color="auto"/>
            </w:tcBorders>
            <w:shd w:val="clear" w:color="auto" w:fill="auto"/>
            <w:noWrap/>
            <w:vAlign w:val="bottom"/>
          </w:tcPr>
          <w:p w14:paraId="6167D91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7FFA63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599410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7361C08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824D4D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805FA1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85766B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C0B928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3022DE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5A7A20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AFEC4D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4AD2936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0B6E60F1" w14:textId="77777777" w:rsidR="00BC541B" w:rsidRDefault="001277CA">
            <w:pPr>
              <w:spacing w:after="0" w:line="240" w:lineRule="auto"/>
              <w:jc w:val="both"/>
              <w:rPr>
                <w:rFonts w:asciiTheme="majorHAnsi" w:eastAsia="Times New Roman" w:hAnsiTheme="majorHAnsi" w:cstheme="majorHAnsi"/>
                <w:color w:val="000000"/>
                <w:sz w:val="17"/>
                <w:szCs w:val="17"/>
                <w:highlight w:val="green"/>
                <w:lang w:eastAsia="es-MX"/>
              </w:rPr>
            </w:pPr>
            <w:r>
              <w:rPr>
                <w:rFonts w:asciiTheme="majorHAnsi" w:eastAsia="Times New Roman" w:hAnsiTheme="majorHAnsi" w:cstheme="majorHAnsi"/>
                <w:b/>
                <w:bCs/>
                <w:color w:val="000000"/>
                <w:sz w:val="17"/>
                <w:szCs w:val="17"/>
                <w:lang w:eastAsia="es-MX"/>
              </w:rPr>
              <w:t>Recursos materiales</w:t>
            </w:r>
            <w:r>
              <w:rPr>
                <w:rFonts w:asciiTheme="majorHAnsi" w:eastAsia="Times New Roman" w:hAnsiTheme="majorHAnsi" w:cstheme="majorHAnsi"/>
                <w:color w:val="000000"/>
                <w:sz w:val="17"/>
                <w:szCs w:val="17"/>
                <w:lang w:eastAsia="es-MX"/>
              </w:rPr>
              <w:t>: Renta de 2 máquinas de impresión, escaneo y fotocopiado avanzado; y la renta de 1 equipo de impresión y fotocopiado ordinario.</w:t>
            </w:r>
          </w:p>
        </w:tc>
        <w:tc>
          <w:tcPr>
            <w:tcW w:w="1701" w:type="dxa"/>
            <w:tcBorders>
              <w:top w:val="nil"/>
              <w:left w:val="nil"/>
              <w:bottom w:val="single" w:sz="4" w:space="0" w:color="auto"/>
              <w:right w:val="single" w:sz="4" w:space="0" w:color="auto"/>
            </w:tcBorders>
            <w:shd w:val="clear" w:color="auto" w:fill="auto"/>
            <w:noWrap/>
            <w:vAlign w:val="bottom"/>
          </w:tcPr>
          <w:p w14:paraId="2489B4B3" w14:textId="77777777" w:rsidR="00BC541B" w:rsidRDefault="001277CA">
            <w:pPr>
              <w:spacing w:after="0" w:line="240" w:lineRule="auto"/>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Integración de expedientes.</w:t>
            </w:r>
          </w:p>
        </w:tc>
      </w:tr>
      <w:tr w:rsidR="00BC541B" w14:paraId="53AEC78C"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55FB04"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Brindar servicios de asesoría jurídica, preparar o revisar proyectos de acuerdos, lineamientos, reglamentos u otros, a otras áreas del IEEPCO o coadyuvar en esto con la Secretaría Ejecutiva del Instituto.</w:t>
            </w:r>
          </w:p>
        </w:tc>
        <w:tc>
          <w:tcPr>
            <w:tcW w:w="425" w:type="dxa"/>
            <w:tcBorders>
              <w:top w:val="nil"/>
              <w:left w:val="nil"/>
              <w:bottom w:val="single" w:sz="4" w:space="0" w:color="auto"/>
              <w:right w:val="single" w:sz="4" w:space="0" w:color="auto"/>
            </w:tcBorders>
            <w:shd w:val="clear" w:color="auto" w:fill="auto"/>
            <w:noWrap/>
            <w:vAlign w:val="bottom"/>
          </w:tcPr>
          <w:p w14:paraId="7D8B82A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C20DF7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442AD94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3ADEB0B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C2F401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BBA8EB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F02E77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D759A6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3B1AF7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2A57C3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519B19D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463BB25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7B347309"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1 persona de carácter eventual.</w:t>
            </w:r>
          </w:p>
        </w:tc>
        <w:tc>
          <w:tcPr>
            <w:tcW w:w="1701" w:type="dxa"/>
            <w:tcBorders>
              <w:top w:val="nil"/>
              <w:left w:val="nil"/>
              <w:bottom w:val="single" w:sz="4" w:space="0" w:color="auto"/>
              <w:right w:val="single" w:sz="4" w:space="0" w:color="auto"/>
            </w:tcBorders>
            <w:shd w:val="clear" w:color="auto" w:fill="auto"/>
            <w:noWrap/>
            <w:vAlign w:val="bottom"/>
          </w:tcPr>
          <w:p w14:paraId="262E2784"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 xml:space="preserve">Respuestas a los peticionarios. </w:t>
            </w:r>
          </w:p>
        </w:tc>
      </w:tr>
      <w:tr w:rsidR="00BC541B" w14:paraId="79C78944"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A2278" w14:textId="77777777" w:rsidR="00BC541B" w:rsidRPr="00727A0E" w:rsidRDefault="001277CA">
            <w:pPr>
              <w:spacing w:after="0" w:line="240" w:lineRule="auto"/>
              <w:jc w:val="both"/>
              <w:rPr>
                <w:rFonts w:ascii="Calibri" w:eastAsia="Times New Roman" w:hAnsi="Calibri" w:cs="Calibri"/>
                <w:color w:val="000000"/>
                <w:sz w:val="20"/>
                <w:szCs w:val="20"/>
                <w:lang w:eastAsia="es-MX"/>
              </w:rPr>
            </w:pPr>
            <w:r w:rsidRPr="00727A0E">
              <w:rPr>
                <w:rFonts w:asciiTheme="majorHAnsi" w:hAnsiTheme="majorHAnsi" w:cstheme="majorHAnsi"/>
                <w:b/>
                <w:bCs/>
                <w:color w:val="000000" w:themeColor="text1"/>
                <w:sz w:val="17"/>
                <w:szCs w:val="17"/>
              </w:rPr>
              <w:t>a)</w:t>
            </w:r>
            <w:r w:rsidRPr="00727A0E">
              <w:rPr>
                <w:rFonts w:asciiTheme="majorHAnsi" w:hAnsiTheme="majorHAnsi" w:cstheme="majorHAnsi"/>
                <w:color w:val="000000" w:themeColor="text1"/>
                <w:sz w:val="17"/>
                <w:szCs w:val="17"/>
              </w:rPr>
              <w:t xml:space="preserve"> Trámites de los medios de impugnación en contra de actos de todo el Instituto; </w:t>
            </w:r>
            <w:r w:rsidRPr="00727A0E">
              <w:rPr>
                <w:rFonts w:asciiTheme="majorHAnsi" w:hAnsiTheme="majorHAnsi" w:cstheme="majorHAnsi"/>
                <w:b/>
                <w:bCs/>
                <w:color w:val="000000" w:themeColor="text1"/>
                <w:sz w:val="17"/>
                <w:szCs w:val="17"/>
              </w:rPr>
              <w:t>b)</w:t>
            </w:r>
            <w:r w:rsidRPr="00727A0E">
              <w:rPr>
                <w:rFonts w:asciiTheme="majorHAnsi" w:hAnsiTheme="majorHAnsi" w:cstheme="majorHAnsi"/>
                <w:color w:val="000000" w:themeColor="text1"/>
                <w:sz w:val="17"/>
                <w:szCs w:val="17"/>
              </w:rPr>
              <w:t xml:space="preserve"> Realizar el trámite para la elaboración de certificaciones requeridas por otras áreas del instituto y la propia unidad técnica.</w:t>
            </w:r>
          </w:p>
        </w:tc>
        <w:tc>
          <w:tcPr>
            <w:tcW w:w="425" w:type="dxa"/>
            <w:tcBorders>
              <w:top w:val="nil"/>
              <w:left w:val="nil"/>
              <w:bottom w:val="single" w:sz="4" w:space="0" w:color="auto"/>
              <w:right w:val="single" w:sz="4" w:space="0" w:color="auto"/>
            </w:tcBorders>
            <w:shd w:val="clear" w:color="auto" w:fill="auto"/>
            <w:noWrap/>
            <w:vAlign w:val="bottom"/>
          </w:tcPr>
          <w:p w14:paraId="327942E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108E57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7D57297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13DEBF8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63667D4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DE0E17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7364F7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992B1B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7BB78EA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BE8246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3C8B8B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66631AA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030227CD"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1 persona de carácter eventual con conocimiento en el área de actividades.</w:t>
            </w:r>
          </w:p>
        </w:tc>
        <w:tc>
          <w:tcPr>
            <w:tcW w:w="1701" w:type="dxa"/>
            <w:tcBorders>
              <w:top w:val="nil"/>
              <w:left w:val="nil"/>
              <w:bottom w:val="single" w:sz="4" w:space="0" w:color="auto"/>
              <w:right w:val="single" w:sz="4" w:space="0" w:color="auto"/>
            </w:tcBorders>
            <w:shd w:val="clear" w:color="auto" w:fill="auto"/>
            <w:noWrap/>
            <w:vAlign w:val="bottom"/>
          </w:tcPr>
          <w:p w14:paraId="04BDA09E"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Expedientes formados con motivo de las impugnaciones y control de datos de las certificaciones entregadas.</w:t>
            </w:r>
          </w:p>
        </w:tc>
      </w:tr>
      <w:tr w:rsidR="00BC541B" w14:paraId="73605CAD"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9EB8E" w14:textId="77777777" w:rsidR="00BC541B" w:rsidRPr="00727A0E" w:rsidRDefault="001277CA">
            <w:pPr>
              <w:spacing w:after="0" w:line="240" w:lineRule="auto"/>
              <w:jc w:val="both"/>
              <w:rPr>
                <w:rFonts w:ascii="Calibri" w:eastAsia="Times New Roman" w:hAnsi="Calibri" w:cs="Calibri"/>
                <w:color w:val="000000"/>
                <w:sz w:val="20"/>
                <w:szCs w:val="20"/>
                <w:lang w:eastAsia="es-MX"/>
              </w:rPr>
            </w:pPr>
            <w:r w:rsidRPr="00727A0E">
              <w:rPr>
                <w:rFonts w:asciiTheme="majorHAnsi" w:hAnsiTheme="majorHAnsi" w:cstheme="majorHAnsi"/>
                <w:color w:val="000000" w:themeColor="text1"/>
                <w:sz w:val="17"/>
                <w:szCs w:val="17"/>
              </w:rPr>
              <w:t>Realizar acciones de recepción de correspondencia que ingresa al Instituto.</w:t>
            </w:r>
          </w:p>
        </w:tc>
        <w:tc>
          <w:tcPr>
            <w:tcW w:w="425" w:type="dxa"/>
            <w:tcBorders>
              <w:top w:val="nil"/>
              <w:left w:val="nil"/>
              <w:bottom w:val="single" w:sz="4" w:space="0" w:color="auto"/>
              <w:right w:val="single" w:sz="4" w:space="0" w:color="auto"/>
            </w:tcBorders>
            <w:shd w:val="clear" w:color="auto" w:fill="auto"/>
            <w:noWrap/>
            <w:vAlign w:val="bottom"/>
          </w:tcPr>
          <w:p w14:paraId="06FE8CD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E6ED1E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C76652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514514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77EFA2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D4F1FC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F81FF7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9313AB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0A7305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8F63E9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9CCF20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166E4948"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1FFE109C" w14:textId="219DAC81"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xml:space="preserve">: </w:t>
            </w:r>
            <w:r w:rsidR="00727A0E">
              <w:rPr>
                <w:rFonts w:asciiTheme="majorHAnsi" w:eastAsia="Times New Roman" w:hAnsiTheme="majorHAnsi" w:cstheme="majorHAnsi"/>
                <w:color w:val="000000"/>
                <w:sz w:val="17"/>
                <w:szCs w:val="17"/>
                <w:lang w:eastAsia="es-MX"/>
              </w:rPr>
              <w:t>4</w:t>
            </w:r>
            <w:r>
              <w:rPr>
                <w:rFonts w:asciiTheme="majorHAnsi" w:eastAsia="Times New Roman" w:hAnsiTheme="majorHAnsi" w:cstheme="majorHAnsi"/>
                <w:color w:val="000000"/>
                <w:sz w:val="17"/>
                <w:szCs w:val="17"/>
                <w:lang w:eastAsia="es-MX"/>
              </w:rPr>
              <w:t xml:space="preserve"> personas de carácter eventual con conocimiento en el área de actividades.</w:t>
            </w:r>
          </w:p>
        </w:tc>
        <w:tc>
          <w:tcPr>
            <w:tcW w:w="1701" w:type="dxa"/>
            <w:tcBorders>
              <w:top w:val="nil"/>
              <w:left w:val="nil"/>
              <w:bottom w:val="single" w:sz="4" w:space="0" w:color="auto"/>
              <w:right w:val="single" w:sz="4" w:space="0" w:color="auto"/>
            </w:tcBorders>
            <w:shd w:val="clear" w:color="auto" w:fill="auto"/>
            <w:noWrap/>
            <w:vAlign w:val="bottom"/>
          </w:tcPr>
          <w:p w14:paraId="70CFEA67" w14:textId="77777777" w:rsidR="00BC541B" w:rsidRDefault="001277CA">
            <w:pPr>
              <w:spacing w:after="0" w:line="240" w:lineRule="auto"/>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 xml:space="preserve">Digitalización de la documentación recibida. </w:t>
            </w:r>
          </w:p>
        </w:tc>
      </w:tr>
      <w:tr w:rsidR="00BC541B" w14:paraId="64C5187A"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D0469E" w14:textId="77777777" w:rsidR="00BC541B" w:rsidRPr="00DB1018" w:rsidRDefault="001277CA">
            <w:pPr>
              <w:spacing w:after="0" w:line="240" w:lineRule="auto"/>
              <w:jc w:val="both"/>
              <w:rPr>
                <w:rFonts w:ascii="Calibri" w:eastAsia="Times New Roman" w:hAnsi="Calibri" w:cs="Calibri"/>
                <w:color w:val="000000"/>
                <w:sz w:val="20"/>
                <w:szCs w:val="20"/>
                <w:lang w:eastAsia="es-MX"/>
              </w:rPr>
            </w:pPr>
            <w:r w:rsidRPr="00DB1018">
              <w:rPr>
                <w:rFonts w:asciiTheme="majorHAnsi" w:hAnsiTheme="majorHAnsi" w:cstheme="majorHAnsi"/>
                <w:color w:val="000000" w:themeColor="text1"/>
                <w:sz w:val="17"/>
                <w:szCs w:val="17"/>
              </w:rPr>
              <w:t xml:space="preserve">Realizar la apertura de expedientes y levantamiento de actas de oficialía electoral requeridas por los órganos del instituto, partidos políticos o peticionarios, y las circunstanciadas </w:t>
            </w:r>
          </w:p>
        </w:tc>
        <w:tc>
          <w:tcPr>
            <w:tcW w:w="425" w:type="dxa"/>
            <w:tcBorders>
              <w:top w:val="nil"/>
              <w:left w:val="nil"/>
              <w:bottom w:val="single" w:sz="4" w:space="0" w:color="auto"/>
              <w:right w:val="single" w:sz="4" w:space="0" w:color="auto"/>
            </w:tcBorders>
            <w:shd w:val="clear" w:color="auto" w:fill="auto"/>
            <w:noWrap/>
            <w:vAlign w:val="bottom"/>
          </w:tcPr>
          <w:p w14:paraId="1B31F94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7352FD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7E7978D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151E98B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1D67E9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CC2A72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293E75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3F1E38AA"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5709F9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CA7F2F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2200E7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2D8FD2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01147A67"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2 personas de carácter eventual con conocimiento en el área de actividades.</w:t>
            </w:r>
          </w:p>
          <w:p w14:paraId="59745A91"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lastRenderedPageBreak/>
              <w:t>Recursos materiales</w:t>
            </w:r>
            <w:r>
              <w:rPr>
                <w:rFonts w:asciiTheme="majorHAnsi" w:eastAsia="Times New Roman" w:hAnsiTheme="majorHAnsi" w:cstheme="majorHAnsi"/>
                <w:color w:val="000000"/>
                <w:sz w:val="17"/>
                <w:szCs w:val="17"/>
                <w:lang w:eastAsia="es-MX"/>
              </w:rPr>
              <w:t>: 1 vehículo a disposición del área de oficialía electoral.</w:t>
            </w:r>
          </w:p>
        </w:tc>
        <w:tc>
          <w:tcPr>
            <w:tcW w:w="1701" w:type="dxa"/>
            <w:tcBorders>
              <w:top w:val="nil"/>
              <w:left w:val="nil"/>
              <w:bottom w:val="single" w:sz="4" w:space="0" w:color="auto"/>
              <w:right w:val="single" w:sz="4" w:space="0" w:color="auto"/>
            </w:tcBorders>
            <w:shd w:val="clear" w:color="auto" w:fill="auto"/>
            <w:noWrap/>
            <w:vAlign w:val="bottom"/>
          </w:tcPr>
          <w:p w14:paraId="5FC35C9F" w14:textId="77777777" w:rsidR="00BC541B" w:rsidRDefault="001277CA">
            <w:pPr>
              <w:spacing w:after="0" w:line="240" w:lineRule="auto"/>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lastRenderedPageBreak/>
              <w:t>Control de actas levantadas.</w:t>
            </w:r>
          </w:p>
        </w:tc>
      </w:tr>
      <w:tr w:rsidR="00BC541B" w14:paraId="41CE1356"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48DC8E" w14:textId="77777777" w:rsidR="00BC541B" w:rsidRPr="00DB1018" w:rsidRDefault="001277CA">
            <w:pPr>
              <w:spacing w:after="0" w:line="240" w:lineRule="auto"/>
              <w:jc w:val="both"/>
              <w:rPr>
                <w:rFonts w:ascii="Calibri" w:eastAsia="Times New Roman" w:hAnsi="Calibri" w:cs="Calibri"/>
                <w:color w:val="000000"/>
                <w:sz w:val="20"/>
                <w:szCs w:val="20"/>
                <w:lang w:eastAsia="es-MX"/>
              </w:rPr>
            </w:pPr>
            <w:r w:rsidRPr="00DB1018">
              <w:rPr>
                <w:rFonts w:asciiTheme="majorHAnsi" w:hAnsiTheme="majorHAnsi" w:cstheme="majorHAnsi"/>
                <w:color w:val="000000" w:themeColor="text1"/>
                <w:sz w:val="17"/>
                <w:szCs w:val="17"/>
              </w:rPr>
              <w:t>Dar cumplimiento a los auxilios de labores, sentencias y/o requerimientos del Tribunal Local y las Salas Electorales del Poder Judicial de la Federación.</w:t>
            </w:r>
          </w:p>
        </w:tc>
        <w:tc>
          <w:tcPr>
            <w:tcW w:w="425" w:type="dxa"/>
            <w:tcBorders>
              <w:top w:val="nil"/>
              <w:left w:val="nil"/>
              <w:bottom w:val="single" w:sz="4" w:space="0" w:color="auto"/>
              <w:right w:val="single" w:sz="4" w:space="0" w:color="auto"/>
            </w:tcBorders>
            <w:shd w:val="clear" w:color="auto" w:fill="auto"/>
            <w:noWrap/>
            <w:vAlign w:val="bottom"/>
          </w:tcPr>
          <w:p w14:paraId="1E42246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6A7C58B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3F644CA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05DCA8C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7D43065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0F5859EF"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B7EDD32"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5CF8A9EB"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A9B85A5"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4B62ECA6"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2D1D70C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D7B446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1870" w:type="dxa"/>
            <w:tcBorders>
              <w:top w:val="nil"/>
              <w:left w:val="nil"/>
              <w:bottom w:val="single" w:sz="4" w:space="0" w:color="auto"/>
              <w:right w:val="single" w:sz="4" w:space="0" w:color="auto"/>
            </w:tcBorders>
            <w:shd w:val="clear" w:color="auto" w:fill="auto"/>
            <w:noWrap/>
            <w:vAlign w:val="bottom"/>
          </w:tcPr>
          <w:p w14:paraId="5CFCD8CC"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b/>
                <w:bCs/>
                <w:color w:val="000000"/>
                <w:sz w:val="17"/>
                <w:szCs w:val="17"/>
                <w:lang w:eastAsia="es-MX"/>
              </w:rPr>
              <w:t>Recursos materiales</w:t>
            </w:r>
            <w:r>
              <w:rPr>
                <w:rFonts w:asciiTheme="majorHAnsi" w:eastAsia="Times New Roman" w:hAnsiTheme="majorHAnsi" w:cstheme="majorHAnsi"/>
                <w:color w:val="000000"/>
                <w:sz w:val="17"/>
                <w:szCs w:val="17"/>
                <w:lang w:eastAsia="es-MX"/>
              </w:rPr>
              <w:t>: 1 vehículo adicional para la práctica de notificaciones en todo el Estado, y proporcionar viáticos necesarios para eso.</w:t>
            </w:r>
          </w:p>
        </w:tc>
        <w:tc>
          <w:tcPr>
            <w:tcW w:w="1701" w:type="dxa"/>
            <w:tcBorders>
              <w:top w:val="nil"/>
              <w:left w:val="nil"/>
              <w:bottom w:val="single" w:sz="4" w:space="0" w:color="auto"/>
              <w:right w:val="single" w:sz="4" w:space="0" w:color="auto"/>
            </w:tcBorders>
            <w:shd w:val="clear" w:color="auto" w:fill="auto"/>
            <w:noWrap/>
            <w:vAlign w:val="bottom"/>
          </w:tcPr>
          <w:p w14:paraId="6B15E3B9" w14:textId="77777777" w:rsidR="00BC541B" w:rsidRDefault="001277CA">
            <w:pPr>
              <w:spacing w:after="0" w:line="240" w:lineRule="auto"/>
              <w:jc w:val="both"/>
              <w:rPr>
                <w:rFonts w:asciiTheme="majorHAnsi" w:eastAsia="Times New Roman" w:hAnsiTheme="majorHAnsi" w:cstheme="majorHAnsi"/>
                <w:color w:val="000000"/>
                <w:sz w:val="17"/>
                <w:szCs w:val="17"/>
                <w:lang w:eastAsia="es-MX"/>
              </w:rPr>
            </w:pPr>
            <w:r>
              <w:rPr>
                <w:rFonts w:asciiTheme="majorHAnsi" w:eastAsia="Times New Roman" w:hAnsiTheme="majorHAnsi" w:cstheme="majorHAnsi"/>
                <w:color w:val="000000"/>
                <w:sz w:val="17"/>
                <w:szCs w:val="17"/>
                <w:lang w:eastAsia="es-MX"/>
              </w:rPr>
              <w:t>Oficios o acuerdos en donde se ordene la práctica de los auxilios de labores</w:t>
            </w:r>
          </w:p>
        </w:tc>
      </w:tr>
      <w:tr w:rsidR="00BC541B" w14:paraId="136E02BF" w14:textId="77777777">
        <w:trPr>
          <w:trHeight w:val="397"/>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C8B013" w14:textId="77777777" w:rsidR="00BC541B" w:rsidRDefault="001277CA">
            <w:pPr>
              <w:spacing w:after="0" w:line="240" w:lineRule="auto"/>
              <w:rPr>
                <w:rFonts w:ascii="Calibri" w:eastAsia="Times New Roman" w:hAnsi="Calibri" w:cs="Calibri"/>
                <w:color w:val="000000"/>
                <w:sz w:val="20"/>
                <w:szCs w:val="20"/>
                <w:lang w:eastAsia="es-MX"/>
              </w:rPr>
            </w:pPr>
            <w:r>
              <w:rPr>
                <w:rFonts w:asciiTheme="majorHAnsi" w:hAnsiTheme="majorHAnsi" w:cstheme="majorHAnsi"/>
                <w:color w:val="000000" w:themeColor="text1"/>
                <w:sz w:val="17"/>
                <w:szCs w:val="17"/>
              </w:rPr>
              <w:t>Traducciones de lenguas originarias.</w:t>
            </w:r>
          </w:p>
        </w:tc>
        <w:tc>
          <w:tcPr>
            <w:tcW w:w="425" w:type="dxa"/>
            <w:tcBorders>
              <w:top w:val="nil"/>
              <w:left w:val="nil"/>
              <w:bottom w:val="single" w:sz="4" w:space="0" w:color="auto"/>
              <w:right w:val="single" w:sz="4" w:space="0" w:color="auto"/>
            </w:tcBorders>
            <w:shd w:val="clear" w:color="auto" w:fill="auto"/>
            <w:noWrap/>
            <w:vAlign w:val="bottom"/>
          </w:tcPr>
          <w:p w14:paraId="4317769C"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762E10DD"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w:t>
            </w:r>
          </w:p>
        </w:tc>
        <w:tc>
          <w:tcPr>
            <w:tcW w:w="397" w:type="dxa"/>
            <w:tcBorders>
              <w:top w:val="nil"/>
              <w:left w:val="nil"/>
              <w:bottom w:val="single" w:sz="4" w:space="0" w:color="auto"/>
              <w:right w:val="single" w:sz="4" w:space="0" w:color="auto"/>
            </w:tcBorders>
            <w:shd w:val="clear" w:color="auto" w:fill="auto"/>
            <w:noWrap/>
            <w:vAlign w:val="bottom"/>
          </w:tcPr>
          <w:p w14:paraId="6049F874"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X</w:t>
            </w:r>
          </w:p>
        </w:tc>
        <w:tc>
          <w:tcPr>
            <w:tcW w:w="397" w:type="dxa"/>
            <w:tcBorders>
              <w:top w:val="nil"/>
              <w:left w:val="nil"/>
              <w:bottom w:val="single" w:sz="4" w:space="0" w:color="auto"/>
              <w:right w:val="single" w:sz="4" w:space="0" w:color="auto"/>
            </w:tcBorders>
            <w:shd w:val="clear" w:color="auto" w:fill="auto"/>
            <w:noWrap/>
            <w:vAlign w:val="bottom"/>
          </w:tcPr>
          <w:p w14:paraId="10CD51E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FCB197A" w14:textId="77777777" w:rsidR="00BC541B" w:rsidRDefault="00BC541B">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1D9D3703"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335431D3" w14:textId="77777777" w:rsidR="00BC541B" w:rsidRDefault="00BC541B">
            <w:pPr>
              <w:spacing w:after="0" w:line="240" w:lineRule="auto"/>
              <w:rPr>
                <w:rFonts w:ascii="Calibri" w:eastAsia="Times New Roman" w:hAnsi="Calibri" w:cs="Calibri"/>
                <w:color w:val="000000"/>
                <w:sz w:val="20"/>
                <w:szCs w:val="20"/>
                <w:lang w:eastAsia="es-MX"/>
              </w:rPr>
            </w:pPr>
          </w:p>
        </w:tc>
        <w:tc>
          <w:tcPr>
            <w:tcW w:w="397" w:type="dxa"/>
            <w:tcBorders>
              <w:top w:val="nil"/>
              <w:left w:val="nil"/>
              <w:bottom w:val="single" w:sz="4" w:space="0" w:color="auto"/>
              <w:right w:val="single" w:sz="4" w:space="0" w:color="auto"/>
            </w:tcBorders>
            <w:shd w:val="clear" w:color="auto" w:fill="auto"/>
            <w:noWrap/>
            <w:vAlign w:val="bottom"/>
          </w:tcPr>
          <w:p w14:paraId="40084D49"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r>
              <w:rPr>
                <w:rFonts w:ascii="Calibri" w:eastAsia="Times New Roman" w:hAnsi="Calibri" w:cs="Calibri"/>
                <w:b/>
                <w:bCs/>
                <w:color w:val="000000"/>
                <w:sz w:val="20"/>
                <w:szCs w:val="20"/>
                <w:lang w:eastAsia="es-MX"/>
              </w:rPr>
              <w:t xml:space="preserve"> </w:t>
            </w:r>
          </w:p>
        </w:tc>
        <w:tc>
          <w:tcPr>
            <w:tcW w:w="397" w:type="dxa"/>
            <w:tcBorders>
              <w:top w:val="nil"/>
              <w:left w:val="nil"/>
              <w:bottom w:val="single" w:sz="4" w:space="0" w:color="auto"/>
              <w:right w:val="single" w:sz="4" w:space="0" w:color="auto"/>
            </w:tcBorders>
            <w:shd w:val="clear" w:color="auto" w:fill="auto"/>
            <w:noWrap/>
            <w:vAlign w:val="bottom"/>
          </w:tcPr>
          <w:p w14:paraId="1989B700"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533E276E"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127B9C27"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w:t>
            </w:r>
          </w:p>
        </w:tc>
        <w:tc>
          <w:tcPr>
            <w:tcW w:w="397" w:type="dxa"/>
            <w:tcBorders>
              <w:top w:val="nil"/>
              <w:left w:val="nil"/>
              <w:bottom w:val="single" w:sz="4" w:space="0" w:color="auto"/>
              <w:right w:val="single" w:sz="4" w:space="0" w:color="auto"/>
            </w:tcBorders>
            <w:shd w:val="clear" w:color="auto" w:fill="auto"/>
            <w:noWrap/>
            <w:vAlign w:val="bottom"/>
          </w:tcPr>
          <w:p w14:paraId="2B223AF1" w14:textId="77777777" w:rsidR="00BC541B" w:rsidRDefault="001277CA">
            <w:pPr>
              <w:spacing w:after="0" w:line="240" w:lineRule="auto"/>
              <w:rPr>
                <w:rFonts w:ascii="Calibri" w:eastAsia="Times New Roman" w:hAnsi="Calibri" w:cs="Calibri"/>
                <w:color w:val="000000"/>
                <w:sz w:val="20"/>
                <w:szCs w:val="20"/>
                <w:lang w:eastAsia="es-MX"/>
              </w:rPr>
            </w:pPr>
            <w:r>
              <w:rPr>
                <w:rFonts w:ascii="Calibri" w:eastAsia="Times New Roman" w:hAnsi="Calibri" w:cs="Calibri"/>
                <w:b/>
                <w:bCs/>
                <w:color w:val="000000"/>
                <w:sz w:val="20"/>
                <w:szCs w:val="20"/>
                <w:lang w:eastAsia="es-MX"/>
              </w:rPr>
              <w:t>X</w:t>
            </w:r>
          </w:p>
        </w:tc>
        <w:tc>
          <w:tcPr>
            <w:tcW w:w="1870" w:type="dxa"/>
            <w:tcBorders>
              <w:top w:val="nil"/>
              <w:left w:val="nil"/>
              <w:bottom w:val="single" w:sz="4" w:space="0" w:color="auto"/>
              <w:right w:val="single" w:sz="4" w:space="0" w:color="auto"/>
            </w:tcBorders>
            <w:shd w:val="clear" w:color="auto" w:fill="auto"/>
            <w:noWrap/>
            <w:vAlign w:val="bottom"/>
          </w:tcPr>
          <w:p w14:paraId="5B3C00EC" w14:textId="77777777" w:rsidR="00BC541B" w:rsidRDefault="001277CA">
            <w:pPr>
              <w:spacing w:after="0" w:line="240" w:lineRule="auto"/>
              <w:rPr>
                <w:rFonts w:ascii="Calibri" w:eastAsia="Times New Roman" w:hAnsi="Calibri" w:cs="Calibri"/>
                <w:color w:val="000000"/>
                <w:sz w:val="20"/>
                <w:szCs w:val="20"/>
                <w:lang w:eastAsia="es-MX"/>
              </w:rPr>
            </w:pPr>
            <w:r>
              <w:rPr>
                <w:rFonts w:asciiTheme="majorHAnsi" w:eastAsia="Times New Roman" w:hAnsiTheme="majorHAnsi" w:cstheme="majorHAnsi"/>
                <w:b/>
                <w:bCs/>
                <w:color w:val="000000"/>
                <w:sz w:val="17"/>
                <w:szCs w:val="17"/>
                <w:lang w:eastAsia="es-MX"/>
              </w:rPr>
              <w:t>Recursos humanos</w:t>
            </w:r>
            <w:r>
              <w:rPr>
                <w:rFonts w:asciiTheme="majorHAnsi" w:eastAsia="Times New Roman" w:hAnsiTheme="majorHAnsi" w:cstheme="majorHAnsi"/>
                <w:color w:val="000000"/>
                <w:sz w:val="17"/>
                <w:szCs w:val="17"/>
                <w:lang w:eastAsia="es-MX"/>
              </w:rPr>
              <w:t>:  La contratación de servicios profesionales de traductor o interprete de lengua originaria.</w:t>
            </w:r>
          </w:p>
        </w:tc>
        <w:tc>
          <w:tcPr>
            <w:tcW w:w="1701" w:type="dxa"/>
            <w:tcBorders>
              <w:top w:val="nil"/>
              <w:left w:val="nil"/>
              <w:bottom w:val="single" w:sz="4" w:space="0" w:color="auto"/>
              <w:right w:val="single" w:sz="4" w:space="0" w:color="auto"/>
            </w:tcBorders>
            <w:shd w:val="clear" w:color="auto" w:fill="auto"/>
            <w:noWrap/>
            <w:vAlign w:val="bottom"/>
          </w:tcPr>
          <w:p w14:paraId="27FC419E" w14:textId="77777777" w:rsidR="00BC541B" w:rsidRDefault="001277CA">
            <w:pPr>
              <w:spacing w:after="0" w:line="240" w:lineRule="auto"/>
              <w:jc w:val="both"/>
              <w:rPr>
                <w:rFonts w:ascii="Calibri" w:eastAsia="Times New Roman" w:hAnsi="Calibri" w:cs="Calibri"/>
                <w:color w:val="000000"/>
                <w:sz w:val="20"/>
                <w:szCs w:val="20"/>
                <w:lang w:eastAsia="es-MX"/>
              </w:rPr>
            </w:pPr>
            <w:r>
              <w:rPr>
                <w:rFonts w:asciiTheme="majorHAnsi" w:eastAsia="Times New Roman" w:hAnsiTheme="majorHAnsi" w:cstheme="majorHAnsi"/>
                <w:color w:val="000000"/>
                <w:sz w:val="17"/>
                <w:szCs w:val="17"/>
                <w:lang w:eastAsia="es-MX"/>
              </w:rPr>
              <w:t>Integración de expedientes.</w:t>
            </w:r>
          </w:p>
        </w:tc>
      </w:tr>
    </w:tbl>
    <w:p w14:paraId="39DC0D95" w14:textId="77777777" w:rsidR="00BC541B" w:rsidRDefault="00BC541B">
      <w:pPr>
        <w:jc w:val="both"/>
        <w:rPr>
          <w:rFonts w:asciiTheme="majorHAnsi" w:hAnsiTheme="majorHAnsi" w:cstheme="majorHAnsi"/>
          <w:color w:val="000000" w:themeColor="text1"/>
          <w:sz w:val="24"/>
          <w:szCs w:val="24"/>
        </w:rPr>
      </w:pPr>
    </w:p>
    <w:p w14:paraId="64B70DED" w14:textId="77777777" w:rsidR="00BC541B" w:rsidRDefault="00BC541B">
      <w:pPr>
        <w:jc w:val="both"/>
        <w:rPr>
          <w:rFonts w:asciiTheme="majorHAnsi" w:hAnsiTheme="majorHAnsi" w:cstheme="majorHAnsi"/>
          <w:color w:val="000000" w:themeColor="text1"/>
          <w:sz w:val="24"/>
          <w:szCs w:val="24"/>
        </w:rPr>
      </w:pPr>
    </w:p>
    <w:sectPr w:rsidR="00BC541B">
      <w:pgSz w:w="12240" w:h="15840"/>
      <w:pgMar w:top="1749"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CE88" w14:textId="77777777" w:rsidR="00FC6622" w:rsidRDefault="00FC6622">
      <w:pPr>
        <w:spacing w:line="240" w:lineRule="auto"/>
      </w:pPr>
      <w:r>
        <w:separator/>
      </w:r>
    </w:p>
  </w:endnote>
  <w:endnote w:type="continuationSeparator" w:id="0">
    <w:p w14:paraId="0E999D41" w14:textId="77777777" w:rsidR="00FC6622" w:rsidRDefault="00FC66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sdtPr>
    <w:sdtEndPr/>
    <w:sdtContent>
      <w:p w14:paraId="6BFBDBFC" w14:textId="77777777" w:rsidR="00BC541B" w:rsidRDefault="001277CA">
        <w:pPr>
          <w:pStyle w:val="Piedepgina"/>
          <w:jc w:val="right"/>
        </w:pPr>
        <w:r>
          <w:fldChar w:fldCharType="begin"/>
        </w:r>
        <w:r>
          <w:instrText>PAGE   \* MERGEFORMAT</w:instrText>
        </w:r>
        <w:r>
          <w:fldChar w:fldCharType="separate"/>
        </w:r>
        <w:r>
          <w:rPr>
            <w:lang w:val="es-ES"/>
          </w:rPr>
          <w:t>2</w:t>
        </w:r>
        <w:r>
          <w:fldChar w:fldCharType="end"/>
        </w:r>
      </w:p>
    </w:sdtContent>
  </w:sdt>
  <w:p w14:paraId="383346B0" w14:textId="77777777" w:rsidR="00BC541B" w:rsidRDefault="00BC54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312417"/>
    </w:sdtPr>
    <w:sdtEndPr/>
    <w:sdtContent>
      <w:p w14:paraId="6C1E4852" w14:textId="77777777" w:rsidR="00BC541B" w:rsidRDefault="001277CA">
        <w:pPr>
          <w:pStyle w:val="Piedepgina"/>
          <w:jc w:val="center"/>
        </w:pPr>
        <w:r>
          <w:fldChar w:fldCharType="begin"/>
        </w:r>
        <w:r>
          <w:instrText>PAGE   \* MERGEFORMAT</w:instrText>
        </w:r>
        <w:r>
          <w:fldChar w:fldCharType="separate"/>
        </w:r>
        <w:r>
          <w:rPr>
            <w:lang w:val="es-ES"/>
          </w:rPr>
          <w:t>2</w:t>
        </w:r>
        <w:r>
          <w:fldChar w:fldCharType="end"/>
        </w:r>
      </w:p>
    </w:sdtContent>
  </w:sdt>
  <w:p w14:paraId="0AEA41F0" w14:textId="77777777" w:rsidR="00BC541B" w:rsidRDefault="00BC54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F582" w14:textId="77777777" w:rsidR="00FC6622" w:rsidRDefault="00FC6622">
      <w:pPr>
        <w:spacing w:after="0"/>
      </w:pPr>
      <w:r>
        <w:separator/>
      </w:r>
    </w:p>
  </w:footnote>
  <w:footnote w:type="continuationSeparator" w:id="0">
    <w:p w14:paraId="6F2D92B9" w14:textId="77777777" w:rsidR="00FC6622" w:rsidRDefault="00FC66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EE11" w14:textId="77777777" w:rsidR="00BC541B" w:rsidRDefault="001277CA">
    <w:pPr>
      <w:pStyle w:val="NormalWeb"/>
      <w:rPr>
        <w:rFonts w:ascii="Century Gothic" w:hAnsi="Century Gothic"/>
        <w:b/>
        <w:bCs/>
        <w:color w:val="800000"/>
        <w:sz w:val="28"/>
        <w:szCs w:val="28"/>
      </w:rPr>
    </w:pPr>
    <w:r>
      <w:rPr>
        <w:rFonts w:cstheme="minorHAnsi"/>
        <w:noProof/>
      </w:rPr>
      <w:drawing>
        <wp:anchor distT="0" distB="0" distL="114300" distR="114300" simplePos="0" relativeHeight="251659264" behindDoc="1" locked="0" layoutInCell="1" allowOverlap="1" wp14:anchorId="5F62CEA4" wp14:editId="6C9E5C4A">
          <wp:simplePos x="0" y="0"/>
          <wp:positionH relativeFrom="column">
            <wp:posOffset>-1051560</wp:posOffset>
          </wp:positionH>
          <wp:positionV relativeFrom="paragraph">
            <wp:posOffset>-488315</wp:posOffset>
          </wp:positionV>
          <wp:extent cx="10001250" cy="10079355"/>
          <wp:effectExtent l="0" t="0" r="0"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n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01647" cy="10079755"/>
                  </a:xfrm>
                  <a:prstGeom prst="rect">
                    <a:avLst/>
                  </a:prstGeom>
                  <a:noFill/>
                  <a:ln>
                    <a:noFill/>
                  </a:ln>
                </pic:spPr>
              </pic:pic>
            </a:graphicData>
          </a:graphic>
        </wp:anchor>
      </w:drawing>
    </w:r>
    <w:r>
      <w:rPr>
        <w:noProof/>
      </w:rPr>
      <w:drawing>
        <wp:anchor distT="0" distB="0" distL="114300" distR="114300" simplePos="0" relativeHeight="251660288" behindDoc="1" locked="0" layoutInCell="1" allowOverlap="1" wp14:anchorId="1247869C" wp14:editId="5D03CEBC">
          <wp:simplePos x="0" y="0"/>
          <wp:positionH relativeFrom="column">
            <wp:posOffset>-578485</wp:posOffset>
          </wp:positionH>
          <wp:positionV relativeFrom="paragraph">
            <wp:posOffset>-281305</wp:posOffset>
          </wp:positionV>
          <wp:extent cx="477520" cy="718820"/>
          <wp:effectExtent l="0" t="0" r="0" b="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4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77520" cy="718820"/>
                  </a:xfrm>
                  <a:prstGeom prst="rect">
                    <a:avLst/>
                  </a:prstGeom>
                  <a:noFill/>
                  <a:ln>
                    <a:noFill/>
                  </a:ln>
                </pic:spPr>
              </pic:pic>
            </a:graphicData>
          </a:graphic>
        </wp:anchor>
      </w:drawing>
    </w:r>
    <w:r>
      <w:rPr>
        <w:rFonts w:ascii="Century Gothic" w:hAnsi="Century Gothic"/>
        <w:b/>
        <w:bCs/>
        <w:color w:val="800000"/>
        <w:sz w:val="28"/>
        <w:szCs w:val="28"/>
      </w:rPr>
      <w:t>PLAN ANUAL DE TRABAJO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528F" w14:textId="77777777" w:rsidR="00BC541B" w:rsidRDefault="001277CA">
    <w:pPr>
      <w:pStyle w:val="Encabezado"/>
    </w:pPr>
    <w:r>
      <w:rPr>
        <w:rFonts w:cstheme="minorHAnsi"/>
        <w:noProof/>
      </w:rPr>
      <w:drawing>
        <wp:anchor distT="0" distB="0" distL="114300" distR="114300" simplePos="0" relativeHeight="251661312" behindDoc="1" locked="0" layoutInCell="1" allowOverlap="1" wp14:anchorId="761EE7BF" wp14:editId="1AAD8858">
          <wp:simplePos x="0" y="0"/>
          <wp:positionH relativeFrom="page">
            <wp:align>right</wp:align>
          </wp:positionH>
          <wp:positionV relativeFrom="paragraph">
            <wp:posOffset>-450215</wp:posOffset>
          </wp:positionV>
          <wp:extent cx="10029825" cy="10079355"/>
          <wp:effectExtent l="0" t="0" r="9525" b="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n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29825" cy="100793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D2F75"/>
    <w:multiLevelType w:val="hybridMultilevel"/>
    <w:tmpl w:val="D5D4BB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05C319B"/>
    <w:multiLevelType w:val="multilevel"/>
    <w:tmpl w:val="205C3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0E101B"/>
    <w:multiLevelType w:val="hybridMultilevel"/>
    <w:tmpl w:val="2618EA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641197B"/>
    <w:multiLevelType w:val="multilevel"/>
    <w:tmpl w:val="36411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7A2DB9"/>
    <w:multiLevelType w:val="multilevel"/>
    <w:tmpl w:val="367A2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810710"/>
    <w:multiLevelType w:val="multilevel"/>
    <w:tmpl w:val="4A81071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472030"/>
    <w:multiLevelType w:val="multilevel"/>
    <w:tmpl w:val="4F47203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52117E0"/>
    <w:multiLevelType w:val="multilevel"/>
    <w:tmpl w:val="5521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275A4A"/>
    <w:multiLevelType w:val="multilevel"/>
    <w:tmpl w:val="5C275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82738C"/>
    <w:multiLevelType w:val="hybridMultilevel"/>
    <w:tmpl w:val="412497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1B773B7"/>
    <w:multiLevelType w:val="multilevel"/>
    <w:tmpl w:val="61B773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1257D3"/>
    <w:multiLevelType w:val="multilevel"/>
    <w:tmpl w:val="68125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DD0335"/>
    <w:multiLevelType w:val="multilevel"/>
    <w:tmpl w:val="72DD0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1306A0"/>
    <w:multiLevelType w:val="multilevel"/>
    <w:tmpl w:val="7D130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num>
  <w:num w:numId="4">
    <w:abstractNumId w:val="12"/>
  </w:num>
  <w:num w:numId="5">
    <w:abstractNumId w:val="6"/>
  </w:num>
  <w:num w:numId="6">
    <w:abstractNumId w:val="5"/>
  </w:num>
  <w:num w:numId="7">
    <w:abstractNumId w:val="11"/>
  </w:num>
  <w:num w:numId="8">
    <w:abstractNumId w:val="1"/>
  </w:num>
  <w:num w:numId="9">
    <w:abstractNumId w:val="4"/>
  </w:num>
  <w:num w:numId="10">
    <w:abstractNumId w:val="3"/>
  </w:num>
  <w:num w:numId="11">
    <w:abstractNumId w:val="13"/>
  </w:num>
  <w:num w:numId="12">
    <w:abstractNumId w:val="9"/>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7F9"/>
    <w:rsid w:val="00010F4B"/>
    <w:rsid w:val="00011471"/>
    <w:rsid w:val="00012E51"/>
    <w:rsid w:val="00033B69"/>
    <w:rsid w:val="0003405A"/>
    <w:rsid w:val="0005717F"/>
    <w:rsid w:val="00070B05"/>
    <w:rsid w:val="000739BB"/>
    <w:rsid w:val="000935DC"/>
    <w:rsid w:val="000A5B4B"/>
    <w:rsid w:val="000A7208"/>
    <w:rsid w:val="000D0B6E"/>
    <w:rsid w:val="000D3254"/>
    <w:rsid w:val="000D5163"/>
    <w:rsid w:val="000E1B7C"/>
    <w:rsid w:val="00112C9F"/>
    <w:rsid w:val="0012322C"/>
    <w:rsid w:val="001277CA"/>
    <w:rsid w:val="00142751"/>
    <w:rsid w:val="00142FED"/>
    <w:rsid w:val="0014740F"/>
    <w:rsid w:val="00175442"/>
    <w:rsid w:val="00180E28"/>
    <w:rsid w:val="00182755"/>
    <w:rsid w:val="0019274A"/>
    <w:rsid w:val="001A4728"/>
    <w:rsid w:val="001A6779"/>
    <w:rsid w:val="001B2635"/>
    <w:rsid w:val="001B3450"/>
    <w:rsid w:val="001D0B87"/>
    <w:rsid w:val="001D1482"/>
    <w:rsid w:val="001D41C2"/>
    <w:rsid w:val="001E671B"/>
    <w:rsid w:val="00203601"/>
    <w:rsid w:val="0020451F"/>
    <w:rsid w:val="00230605"/>
    <w:rsid w:val="00243879"/>
    <w:rsid w:val="0025603C"/>
    <w:rsid w:val="00282777"/>
    <w:rsid w:val="002B74E0"/>
    <w:rsid w:val="002C5FC8"/>
    <w:rsid w:val="002E600E"/>
    <w:rsid w:val="002F69CD"/>
    <w:rsid w:val="002F7D79"/>
    <w:rsid w:val="0031268C"/>
    <w:rsid w:val="0032023B"/>
    <w:rsid w:val="00320761"/>
    <w:rsid w:val="00337ED1"/>
    <w:rsid w:val="00351F19"/>
    <w:rsid w:val="0035616E"/>
    <w:rsid w:val="003625A6"/>
    <w:rsid w:val="00370FEF"/>
    <w:rsid w:val="003D3BFA"/>
    <w:rsid w:val="003E514D"/>
    <w:rsid w:val="003F5504"/>
    <w:rsid w:val="003F562C"/>
    <w:rsid w:val="003F6C3B"/>
    <w:rsid w:val="00405136"/>
    <w:rsid w:val="00405488"/>
    <w:rsid w:val="00423638"/>
    <w:rsid w:val="00424E57"/>
    <w:rsid w:val="0042587C"/>
    <w:rsid w:val="004424D8"/>
    <w:rsid w:val="004512C6"/>
    <w:rsid w:val="00453D6C"/>
    <w:rsid w:val="00457BDE"/>
    <w:rsid w:val="00460B0B"/>
    <w:rsid w:val="00467F81"/>
    <w:rsid w:val="00480911"/>
    <w:rsid w:val="004839F0"/>
    <w:rsid w:val="00485220"/>
    <w:rsid w:val="00491047"/>
    <w:rsid w:val="004B0B52"/>
    <w:rsid w:val="004F346B"/>
    <w:rsid w:val="004F603D"/>
    <w:rsid w:val="004F696B"/>
    <w:rsid w:val="00504E47"/>
    <w:rsid w:val="00511344"/>
    <w:rsid w:val="00515323"/>
    <w:rsid w:val="005227F9"/>
    <w:rsid w:val="005501F5"/>
    <w:rsid w:val="00550643"/>
    <w:rsid w:val="00553790"/>
    <w:rsid w:val="00557A2D"/>
    <w:rsid w:val="0058174D"/>
    <w:rsid w:val="00587341"/>
    <w:rsid w:val="005918DE"/>
    <w:rsid w:val="005A0926"/>
    <w:rsid w:val="005C20AF"/>
    <w:rsid w:val="005E3423"/>
    <w:rsid w:val="00610830"/>
    <w:rsid w:val="0062581D"/>
    <w:rsid w:val="00631DBD"/>
    <w:rsid w:val="00660EC2"/>
    <w:rsid w:val="00662526"/>
    <w:rsid w:val="006852FB"/>
    <w:rsid w:val="006A27B9"/>
    <w:rsid w:val="006C2454"/>
    <w:rsid w:val="006C6B3C"/>
    <w:rsid w:val="006F0D36"/>
    <w:rsid w:val="006F6156"/>
    <w:rsid w:val="00712F19"/>
    <w:rsid w:val="0071482D"/>
    <w:rsid w:val="007276DB"/>
    <w:rsid w:val="00727A0E"/>
    <w:rsid w:val="00744BCD"/>
    <w:rsid w:val="0075117F"/>
    <w:rsid w:val="0075188F"/>
    <w:rsid w:val="007538F2"/>
    <w:rsid w:val="00755622"/>
    <w:rsid w:val="00756928"/>
    <w:rsid w:val="0075742F"/>
    <w:rsid w:val="00763CEC"/>
    <w:rsid w:val="007A28CD"/>
    <w:rsid w:val="007B0EA2"/>
    <w:rsid w:val="007C1993"/>
    <w:rsid w:val="007C4248"/>
    <w:rsid w:val="007C57F1"/>
    <w:rsid w:val="007E05C1"/>
    <w:rsid w:val="007E2C58"/>
    <w:rsid w:val="007E7840"/>
    <w:rsid w:val="007F41C1"/>
    <w:rsid w:val="00807144"/>
    <w:rsid w:val="008268EE"/>
    <w:rsid w:val="008473F6"/>
    <w:rsid w:val="008632A5"/>
    <w:rsid w:val="00870CF0"/>
    <w:rsid w:val="00881550"/>
    <w:rsid w:val="0088649C"/>
    <w:rsid w:val="0089238B"/>
    <w:rsid w:val="00892C12"/>
    <w:rsid w:val="00894957"/>
    <w:rsid w:val="008A31B1"/>
    <w:rsid w:val="008C033E"/>
    <w:rsid w:val="008D348F"/>
    <w:rsid w:val="008D5D07"/>
    <w:rsid w:val="008E0E2D"/>
    <w:rsid w:val="00951F59"/>
    <w:rsid w:val="009636D8"/>
    <w:rsid w:val="00996542"/>
    <w:rsid w:val="009A4F18"/>
    <w:rsid w:val="009B0EEC"/>
    <w:rsid w:val="009C1B62"/>
    <w:rsid w:val="009C2A1A"/>
    <w:rsid w:val="009D532B"/>
    <w:rsid w:val="00A03608"/>
    <w:rsid w:val="00A046A9"/>
    <w:rsid w:val="00A23F65"/>
    <w:rsid w:val="00A322CC"/>
    <w:rsid w:val="00A36218"/>
    <w:rsid w:val="00A45AD0"/>
    <w:rsid w:val="00A75788"/>
    <w:rsid w:val="00A831F2"/>
    <w:rsid w:val="00AF3D18"/>
    <w:rsid w:val="00B0646D"/>
    <w:rsid w:val="00B21AB3"/>
    <w:rsid w:val="00B244F2"/>
    <w:rsid w:val="00B35BBA"/>
    <w:rsid w:val="00B46115"/>
    <w:rsid w:val="00B62AD4"/>
    <w:rsid w:val="00B73AD6"/>
    <w:rsid w:val="00B76FE6"/>
    <w:rsid w:val="00B83083"/>
    <w:rsid w:val="00BA3B4D"/>
    <w:rsid w:val="00BA76D6"/>
    <w:rsid w:val="00BB62A2"/>
    <w:rsid w:val="00BC4BD1"/>
    <w:rsid w:val="00BC541B"/>
    <w:rsid w:val="00BD00A5"/>
    <w:rsid w:val="00BD3FB3"/>
    <w:rsid w:val="00BD76FC"/>
    <w:rsid w:val="00BE5F47"/>
    <w:rsid w:val="00C03FAF"/>
    <w:rsid w:val="00C14B91"/>
    <w:rsid w:val="00C14C0B"/>
    <w:rsid w:val="00C47614"/>
    <w:rsid w:val="00C943AC"/>
    <w:rsid w:val="00CE32B7"/>
    <w:rsid w:val="00CE5D6C"/>
    <w:rsid w:val="00CE69C5"/>
    <w:rsid w:val="00CF36AD"/>
    <w:rsid w:val="00CF4D9D"/>
    <w:rsid w:val="00D13297"/>
    <w:rsid w:val="00D17C50"/>
    <w:rsid w:val="00D330C1"/>
    <w:rsid w:val="00D34226"/>
    <w:rsid w:val="00D364B6"/>
    <w:rsid w:val="00D42F37"/>
    <w:rsid w:val="00D474BA"/>
    <w:rsid w:val="00D47C82"/>
    <w:rsid w:val="00D542E4"/>
    <w:rsid w:val="00D5718A"/>
    <w:rsid w:val="00D726AF"/>
    <w:rsid w:val="00D727FC"/>
    <w:rsid w:val="00D85AD1"/>
    <w:rsid w:val="00D86359"/>
    <w:rsid w:val="00DA330C"/>
    <w:rsid w:val="00DB0A4A"/>
    <w:rsid w:val="00DB1018"/>
    <w:rsid w:val="00DB6D81"/>
    <w:rsid w:val="00DD2CD3"/>
    <w:rsid w:val="00DD6171"/>
    <w:rsid w:val="00E050BD"/>
    <w:rsid w:val="00E1157F"/>
    <w:rsid w:val="00E16022"/>
    <w:rsid w:val="00E16CD5"/>
    <w:rsid w:val="00E22336"/>
    <w:rsid w:val="00E2737C"/>
    <w:rsid w:val="00E31520"/>
    <w:rsid w:val="00E54E73"/>
    <w:rsid w:val="00E76221"/>
    <w:rsid w:val="00E82E2E"/>
    <w:rsid w:val="00E83B36"/>
    <w:rsid w:val="00EA5103"/>
    <w:rsid w:val="00EA58AA"/>
    <w:rsid w:val="00EB7AB3"/>
    <w:rsid w:val="00EC4A26"/>
    <w:rsid w:val="00ED162B"/>
    <w:rsid w:val="00EF6456"/>
    <w:rsid w:val="00F124B7"/>
    <w:rsid w:val="00F23B5E"/>
    <w:rsid w:val="00F30661"/>
    <w:rsid w:val="00F320CB"/>
    <w:rsid w:val="00F34816"/>
    <w:rsid w:val="00F4391C"/>
    <w:rsid w:val="00F77270"/>
    <w:rsid w:val="00FB672C"/>
    <w:rsid w:val="00FB6C97"/>
    <w:rsid w:val="00FC6622"/>
    <w:rsid w:val="00FE0421"/>
    <w:rsid w:val="01727BE5"/>
    <w:rsid w:val="01F3B6A6"/>
    <w:rsid w:val="0206DBD5"/>
    <w:rsid w:val="02524221"/>
    <w:rsid w:val="026C1047"/>
    <w:rsid w:val="02B27426"/>
    <w:rsid w:val="033AF3C9"/>
    <w:rsid w:val="03965DD1"/>
    <w:rsid w:val="0415BDCB"/>
    <w:rsid w:val="043159F8"/>
    <w:rsid w:val="04463AE9"/>
    <w:rsid w:val="048ED850"/>
    <w:rsid w:val="05132CA0"/>
    <w:rsid w:val="054F6368"/>
    <w:rsid w:val="05CE7310"/>
    <w:rsid w:val="05E023A7"/>
    <w:rsid w:val="0613C02E"/>
    <w:rsid w:val="063DE10D"/>
    <w:rsid w:val="06614732"/>
    <w:rsid w:val="068492B0"/>
    <w:rsid w:val="078D8C02"/>
    <w:rsid w:val="07DBB40C"/>
    <w:rsid w:val="0858B5F4"/>
    <w:rsid w:val="08D81BEE"/>
    <w:rsid w:val="08FAA7D5"/>
    <w:rsid w:val="092E543E"/>
    <w:rsid w:val="09C485C0"/>
    <w:rsid w:val="0ABD967E"/>
    <w:rsid w:val="0CB1E39A"/>
    <w:rsid w:val="0CEC2968"/>
    <w:rsid w:val="0D3A424B"/>
    <w:rsid w:val="0D883645"/>
    <w:rsid w:val="0E5B5E7D"/>
    <w:rsid w:val="0E5E35FE"/>
    <w:rsid w:val="0EA880A2"/>
    <w:rsid w:val="0FF4FFFB"/>
    <w:rsid w:val="10625593"/>
    <w:rsid w:val="10B948A5"/>
    <w:rsid w:val="10BB0293"/>
    <w:rsid w:val="1116C761"/>
    <w:rsid w:val="11404AF3"/>
    <w:rsid w:val="1161542A"/>
    <w:rsid w:val="118409AF"/>
    <w:rsid w:val="11AB3E8C"/>
    <w:rsid w:val="11ECF2E1"/>
    <w:rsid w:val="1225820D"/>
    <w:rsid w:val="129CC046"/>
    <w:rsid w:val="130DB9F2"/>
    <w:rsid w:val="13135269"/>
    <w:rsid w:val="137078F9"/>
    <w:rsid w:val="1373265C"/>
    <w:rsid w:val="13E05CB2"/>
    <w:rsid w:val="13E6E87F"/>
    <w:rsid w:val="16CCF70B"/>
    <w:rsid w:val="17333CFC"/>
    <w:rsid w:val="174D744A"/>
    <w:rsid w:val="179BE2F4"/>
    <w:rsid w:val="17D81556"/>
    <w:rsid w:val="1830C7E7"/>
    <w:rsid w:val="185CDB74"/>
    <w:rsid w:val="19553FC0"/>
    <w:rsid w:val="199247CF"/>
    <w:rsid w:val="19B2DD94"/>
    <w:rsid w:val="19EB4F4D"/>
    <w:rsid w:val="1A55B6CE"/>
    <w:rsid w:val="1BA0E976"/>
    <w:rsid w:val="1C1616D1"/>
    <w:rsid w:val="1D91A6C6"/>
    <w:rsid w:val="1DAB9F6D"/>
    <w:rsid w:val="1E2813FE"/>
    <w:rsid w:val="1E9D9C43"/>
    <w:rsid w:val="1F132271"/>
    <w:rsid w:val="1F453072"/>
    <w:rsid w:val="1FACFEDE"/>
    <w:rsid w:val="209350B4"/>
    <w:rsid w:val="210EDF67"/>
    <w:rsid w:val="21A68A5E"/>
    <w:rsid w:val="21CBEC79"/>
    <w:rsid w:val="2254DB4C"/>
    <w:rsid w:val="225EA210"/>
    <w:rsid w:val="234B9C0E"/>
    <w:rsid w:val="2403DA4B"/>
    <w:rsid w:val="241F8E70"/>
    <w:rsid w:val="2470DB7D"/>
    <w:rsid w:val="2510CE5A"/>
    <w:rsid w:val="255A5450"/>
    <w:rsid w:val="259C3DE0"/>
    <w:rsid w:val="25DEA3A9"/>
    <w:rsid w:val="25E884AE"/>
    <w:rsid w:val="264B709D"/>
    <w:rsid w:val="264B8317"/>
    <w:rsid w:val="265C7FBF"/>
    <w:rsid w:val="26BBA26C"/>
    <w:rsid w:val="271D056D"/>
    <w:rsid w:val="27BFAD2E"/>
    <w:rsid w:val="27F005F3"/>
    <w:rsid w:val="2833AE35"/>
    <w:rsid w:val="28B3F38F"/>
    <w:rsid w:val="28B5B088"/>
    <w:rsid w:val="28E1E56E"/>
    <w:rsid w:val="28E73628"/>
    <w:rsid w:val="29ECCAE0"/>
    <w:rsid w:val="2A4E0C18"/>
    <w:rsid w:val="2A747579"/>
    <w:rsid w:val="2A9A952C"/>
    <w:rsid w:val="2AAC7FF5"/>
    <w:rsid w:val="2B4C24E1"/>
    <w:rsid w:val="2BD37535"/>
    <w:rsid w:val="2C1F4A24"/>
    <w:rsid w:val="2C2B3180"/>
    <w:rsid w:val="2D1762DC"/>
    <w:rsid w:val="2D2E01C2"/>
    <w:rsid w:val="2D9AAB4F"/>
    <w:rsid w:val="2DC331A0"/>
    <w:rsid w:val="2E611DCC"/>
    <w:rsid w:val="2E6C1B6E"/>
    <w:rsid w:val="2E6ED6FC"/>
    <w:rsid w:val="2E825F6E"/>
    <w:rsid w:val="2EA6C726"/>
    <w:rsid w:val="2EE7571A"/>
    <w:rsid w:val="2EF004F0"/>
    <w:rsid w:val="2EFCBD48"/>
    <w:rsid w:val="3035D30F"/>
    <w:rsid w:val="305C4210"/>
    <w:rsid w:val="3156E161"/>
    <w:rsid w:val="323E0C80"/>
    <w:rsid w:val="32AF4215"/>
    <w:rsid w:val="32DF6827"/>
    <w:rsid w:val="33B9BA63"/>
    <w:rsid w:val="33CBEC63"/>
    <w:rsid w:val="33FE35DA"/>
    <w:rsid w:val="341EA8DE"/>
    <w:rsid w:val="344095C7"/>
    <w:rsid w:val="34EF4EAB"/>
    <w:rsid w:val="350338B2"/>
    <w:rsid w:val="3536C89C"/>
    <w:rsid w:val="364A205A"/>
    <w:rsid w:val="36590ABB"/>
    <w:rsid w:val="365F6F30"/>
    <w:rsid w:val="368D0E0B"/>
    <w:rsid w:val="37D0B902"/>
    <w:rsid w:val="38B32AA5"/>
    <w:rsid w:val="38EB611F"/>
    <w:rsid w:val="3945307F"/>
    <w:rsid w:val="39CC7954"/>
    <w:rsid w:val="39E59274"/>
    <w:rsid w:val="3A7BE86A"/>
    <w:rsid w:val="3AFB42FC"/>
    <w:rsid w:val="3B2260AD"/>
    <w:rsid w:val="3B253BF1"/>
    <w:rsid w:val="3B9A3C54"/>
    <w:rsid w:val="3CF8D67B"/>
    <w:rsid w:val="3D7CFECC"/>
    <w:rsid w:val="3DDD1248"/>
    <w:rsid w:val="3E6B5C90"/>
    <w:rsid w:val="3F168E45"/>
    <w:rsid w:val="3F7E7F62"/>
    <w:rsid w:val="3FCE2A39"/>
    <w:rsid w:val="3FEBD07C"/>
    <w:rsid w:val="40064258"/>
    <w:rsid w:val="40FA3395"/>
    <w:rsid w:val="410E5994"/>
    <w:rsid w:val="41224D05"/>
    <w:rsid w:val="41E53880"/>
    <w:rsid w:val="42C581BE"/>
    <w:rsid w:val="4339A8AA"/>
    <w:rsid w:val="43A62A88"/>
    <w:rsid w:val="44447DB6"/>
    <w:rsid w:val="4513DAC3"/>
    <w:rsid w:val="4552FB5E"/>
    <w:rsid w:val="4647C583"/>
    <w:rsid w:val="46B725B1"/>
    <w:rsid w:val="47AACDA0"/>
    <w:rsid w:val="47BC8325"/>
    <w:rsid w:val="47D28896"/>
    <w:rsid w:val="47DDE0FB"/>
    <w:rsid w:val="485F9733"/>
    <w:rsid w:val="4867B359"/>
    <w:rsid w:val="493179DC"/>
    <w:rsid w:val="4A92BE0D"/>
    <w:rsid w:val="4AAC748E"/>
    <w:rsid w:val="4ACA9D71"/>
    <w:rsid w:val="4B1C00D8"/>
    <w:rsid w:val="4B563138"/>
    <w:rsid w:val="4BDDDB85"/>
    <w:rsid w:val="4C21AF59"/>
    <w:rsid w:val="4C3028F3"/>
    <w:rsid w:val="4CCF6F20"/>
    <w:rsid w:val="4DACDEA0"/>
    <w:rsid w:val="4DDB230C"/>
    <w:rsid w:val="4E0263A8"/>
    <w:rsid w:val="4EA063E5"/>
    <w:rsid w:val="4F713831"/>
    <w:rsid w:val="4F7C10A8"/>
    <w:rsid w:val="50559D21"/>
    <w:rsid w:val="50B59E70"/>
    <w:rsid w:val="50CE7645"/>
    <w:rsid w:val="51A47890"/>
    <w:rsid w:val="51D3604E"/>
    <w:rsid w:val="52AC9588"/>
    <w:rsid w:val="53450167"/>
    <w:rsid w:val="53AB9476"/>
    <w:rsid w:val="53FB1179"/>
    <w:rsid w:val="542056A4"/>
    <w:rsid w:val="54527C12"/>
    <w:rsid w:val="548519D4"/>
    <w:rsid w:val="54FF5200"/>
    <w:rsid w:val="550EA09F"/>
    <w:rsid w:val="55833CD8"/>
    <w:rsid w:val="55980A46"/>
    <w:rsid w:val="5631BAE3"/>
    <w:rsid w:val="5642F8DC"/>
    <w:rsid w:val="566C7623"/>
    <w:rsid w:val="56B7148E"/>
    <w:rsid w:val="56BE2320"/>
    <w:rsid w:val="56CD62CC"/>
    <w:rsid w:val="577FB419"/>
    <w:rsid w:val="5781E551"/>
    <w:rsid w:val="57F81ADE"/>
    <w:rsid w:val="58005A3D"/>
    <w:rsid w:val="58B544B1"/>
    <w:rsid w:val="58CE0EDD"/>
    <w:rsid w:val="599C04E2"/>
    <w:rsid w:val="59CEFDF9"/>
    <w:rsid w:val="5BE08930"/>
    <w:rsid w:val="5BEB83C7"/>
    <w:rsid w:val="5C2FE4CE"/>
    <w:rsid w:val="5D2B4F42"/>
    <w:rsid w:val="5F050739"/>
    <w:rsid w:val="5FCD654C"/>
    <w:rsid w:val="5FF07A0D"/>
    <w:rsid w:val="60444E33"/>
    <w:rsid w:val="609F5A17"/>
    <w:rsid w:val="612736A7"/>
    <w:rsid w:val="61287064"/>
    <w:rsid w:val="6131E86C"/>
    <w:rsid w:val="61D82EB7"/>
    <w:rsid w:val="624AC5F2"/>
    <w:rsid w:val="626B6D46"/>
    <w:rsid w:val="63338A68"/>
    <w:rsid w:val="637979C1"/>
    <w:rsid w:val="6384C47C"/>
    <w:rsid w:val="63BADA47"/>
    <w:rsid w:val="6467DE82"/>
    <w:rsid w:val="651E7E3C"/>
    <w:rsid w:val="65647426"/>
    <w:rsid w:val="6582A0A4"/>
    <w:rsid w:val="658FC1D1"/>
    <w:rsid w:val="65D5620E"/>
    <w:rsid w:val="6664D6BD"/>
    <w:rsid w:val="66851CCA"/>
    <w:rsid w:val="66F0C56E"/>
    <w:rsid w:val="67801CED"/>
    <w:rsid w:val="682E3AA5"/>
    <w:rsid w:val="68BA036E"/>
    <w:rsid w:val="68C34984"/>
    <w:rsid w:val="68E80767"/>
    <w:rsid w:val="6925474D"/>
    <w:rsid w:val="69878776"/>
    <w:rsid w:val="698A8595"/>
    <w:rsid w:val="6ACF7C5E"/>
    <w:rsid w:val="6AE3D0F3"/>
    <w:rsid w:val="6B7A0E51"/>
    <w:rsid w:val="6C2C0C6B"/>
    <w:rsid w:val="6C7CBE1A"/>
    <w:rsid w:val="6D08AB81"/>
    <w:rsid w:val="6D210421"/>
    <w:rsid w:val="6D4469FE"/>
    <w:rsid w:val="6DBD5AC8"/>
    <w:rsid w:val="6E228171"/>
    <w:rsid w:val="6E36572B"/>
    <w:rsid w:val="6E4BADDD"/>
    <w:rsid w:val="6E73A0F8"/>
    <w:rsid w:val="6E7BBE85"/>
    <w:rsid w:val="6EBEBE92"/>
    <w:rsid w:val="6ECB1EFF"/>
    <w:rsid w:val="6F4BF496"/>
    <w:rsid w:val="6F6F6B34"/>
    <w:rsid w:val="6F8148AD"/>
    <w:rsid w:val="6FC14542"/>
    <w:rsid w:val="6FC8785C"/>
    <w:rsid w:val="6FEC0CEC"/>
    <w:rsid w:val="6FF23B99"/>
    <w:rsid w:val="70595983"/>
    <w:rsid w:val="70A65D4C"/>
    <w:rsid w:val="70FA1BF2"/>
    <w:rsid w:val="70FE9C31"/>
    <w:rsid w:val="7108663C"/>
    <w:rsid w:val="724B3315"/>
    <w:rsid w:val="727874DD"/>
    <w:rsid w:val="727B1D9F"/>
    <w:rsid w:val="728FBE03"/>
    <w:rsid w:val="72C3431D"/>
    <w:rsid w:val="73CCDA2A"/>
    <w:rsid w:val="745A030A"/>
    <w:rsid w:val="74A6F563"/>
    <w:rsid w:val="74B14BB4"/>
    <w:rsid w:val="75A465EB"/>
    <w:rsid w:val="75E9FA8E"/>
    <w:rsid w:val="769FBE63"/>
    <w:rsid w:val="773E12B1"/>
    <w:rsid w:val="78976A83"/>
    <w:rsid w:val="79E69B29"/>
    <w:rsid w:val="7A4E07A7"/>
    <w:rsid w:val="7A8D33BB"/>
    <w:rsid w:val="7B256C66"/>
    <w:rsid w:val="7B8737A6"/>
    <w:rsid w:val="7BF38576"/>
    <w:rsid w:val="7C177E24"/>
    <w:rsid w:val="7C591BF8"/>
    <w:rsid w:val="7C8AC118"/>
    <w:rsid w:val="7CA8AC20"/>
    <w:rsid w:val="7CE09DA6"/>
    <w:rsid w:val="7D603B22"/>
    <w:rsid w:val="7E5B2615"/>
    <w:rsid w:val="7E6CD519"/>
    <w:rsid w:val="7F5314F2"/>
    <w:rsid w:val="7F624C35"/>
    <w:rsid w:val="7F9A0ED5"/>
    <w:rsid w:val="7FE134FE"/>
    <w:rsid w:val="7FFFAA99"/>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B36B503"/>
  <w15:docId w15:val="{E9C02BA8-7642-45A1-AD21-EF18CCA53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tulo1">
    <w:name w:val="heading 1"/>
    <w:basedOn w:val="Normal"/>
    <w:next w:val="Normal"/>
    <w:link w:val="Ttulo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Hipervnculo">
    <w:name w:val="Hyperlink"/>
    <w:basedOn w:val="Fuentedeprrafopredeter"/>
    <w:uiPriority w:val="99"/>
    <w:unhideWhenUsed/>
    <w:qFormat/>
    <w:rPr>
      <w:color w:val="0563C1" w:themeColor="hyperlink"/>
      <w:u w:val="single"/>
    </w:rPr>
  </w:style>
  <w:style w:type="character" w:styleId="Hipervnculovisitado">
    <w:name w:val="FollowedHyperlink"/>
    <w:basedOn w:val="Fuentedeprrafopredeter"/>
    <w:uiPriority w:val="99"/>
    <w:semiHidden/>
    <w:unhideWhenUsed/>
    <w:rPr>
      <w:color w:val="954F72" w:themeColor="followedHyperlink"/>
      <w:u w:val="single"/>
    </w:rPr>
  </w:style>
  <w:style w:type="paragraph" w:styleId="Asuntodelcomentario">
    <w:name w:val="annotation subject"/>
    <w:basedOn w:val="Textocomentario"/>
    <w:next w:val="Textocomentario"/>
    <w:link w:val="AsuntodelcomentarioCar"/>
    <w:uiPriority w:val="99"/>
    <w:semiHidden/>
    <w:unhideWhenUsed/>
    <w:qFormat/>
    <w:pPr>
      <w:spacing w:line="240" w:lineRule="auto"/>
    </w:pPr>
    <w:rPr>
      <w:b/>
      <w:bCs/>
      <w:sz w:val="20"/>
      <w:szCs w:val="20"/>
    </w:rPr>
  </w:style>
  <w:style w:type="paragraph" w:styleId="Textocomentario">
    <w:name w:val="annotation text"/>
    <w:basedOn w:val="Normal"/>
    <w:link w:val="TextocomentarioCar"/>
    <w:uiPriority w:val="99"/>
    <w:semiHidden/>
    <w:unhideWhenUsed/>
  </w:style>
  <w:style w:type="paragraph" w:styleId="Encabezado">
    <w:name w:val="header"/>
    <w:basedOn w:val="Normal"/>
    <w:link w:val="EncabezadoCar"/>
    <w:uiPriority w:val="99"/>
    <w:unhideWhenUsed/>
    <w:pPr>
      <w:tabs>
        <w:tab w:val="center" w:pos="4419"/>
        <w:tab w:val="right" w:pos="8838"/>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iedepgina">
    <w:name w:val="footer"/>
    <w:basedOn w:val="Normal"/>
    <w:link w:val="PiedepginaCar"/>
    <w:uiPriority w:val="99"/>
    <w:unhideWhenUsed/>
    <w:pPr>
      <w:tabs>
        <w:tab w:val="center" w:pos="4419"/>
        <w:tab w:val="right" w:pos="8838"/>
      </w:tabs>
      <w:spacing w:after="0" w:line="240" w:lineRule="auto"/>
    </w:p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pPr>
      <w:ind w:left="720"/>
      <w:contextualSpacing/>
    </w:pPr>
  </w:style>
  <w:style w:type="character" w:customStyle="1" w:styleId="Ttulo1Car">
    <w:name w:val="Título 1 Car"/>
    <w:basedOn w:val="Fuentedeprrafopredeter"/>
    <w:link w:val="Ttulo1"/>
    <w:uiPriority w:val="9"/>
    <w:rPr>
      <w:rFonts w:asciiTheme="majorHAnsi" w:eastAsiaTheme="majorEastAsia" w:hAnsiTheme="majorHAnsi" w:cstheme="majorBidi"/>
      <w:color w:val="2F5496" w:themeColor="accent1" w:themeShade="BF"/>
      <w:sz w:val="32"/>
      <w:szCs w:val="32"/>
    </w:rPr>
  </w:style>
  <w:style w:type="paragraph" w:customStyle="1" w:styleId="TtuloTDC1">
    <w:name w:val="Título TDC1"/>
    <w:basedOn w:val="Ttulo1"/>
    <w:next w:val="Normal"/>
    <w:uiPriority w:val="39"/>
    <w:unhideWhenUsed/>
    <w:qFormat/>
    <w:pPr>
      <w:outlineLvl w:val="9"/>
    </w:pPr>
    <w:rPr>
      <w:lang w:eastAsia="es-MX"/>
    </w:r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after="0" w:line="240" w:lineRule="auto"/>
    </w:pPr>
    <w:rPr>
      <w:rFonts w:ascii="Calibri" w:eastAsia="Calibri" w:hAnsi="Calibri" w:cs="Calibri"/>
      <w:lang w:val="es-ES"/>
    </w:rPr>
  </w:style>
  <w:style w:type="character" w:customStyle="1" w:styleId="TextocomentarioCar">
    <w:name w:val="Texto comentario Car"/>
    <w:basedOn w:val="Fuentedeprrafopredeter"/>
    <w:link w:val="Textocomentario"/>
    <w:uiPriority w:val="99"/>
    <w:semiHidden/>
    <w:rPr>
      <w:rFonts w:asciiTheme="minorHAnsi" w:eastAsiaTheme="minorHAnsi" w:hAnsiTheme="minorHAnsi" w:cstheme="minorBidi"/>
      <w:sz w:val="22"/>
      <w:szCs w:val="22"/>
      <w:lang w:eastAsia="en-US"/>
    </w:rPr>
  </w:style>
  <w:style w:type="character" w:customStyle="1" w:styleId="AsuntodelcomentarioCar">
    <w:name w:val="Asunto del comentario Car"/>
    <w:basedOn w:val="TextocomentarioCar"/>
    <w:link w:val="Asuntodelcomentario"/>
    <w:uiPriority w:val="99"/>
    <w:semiHidden/>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diagramColors" Target="diagrams/colors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diagramData" Target="diagrams/data1.xml"/><Relationship Id="rId10" Type="http://schemas.openxmlformats.org/officeDocument/2006/relationships/image" Target="media/image2.png"/><Relationship Id="rId19" Type="http://schemas.microsoft.com/office/2007/relationships/diagramDrawing" Target="diagrams/drawing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463C01F-3867-4C1B-B78F-F67C0B224BD8}" type="doc">
      <dgm:prSet loTypeId="urn:microsoft.com/office/officeart/2005/8/layout/hierarchy1" loCatId="hierarchy" qsTypeId="urn:microsoft.com/office/officeart/2005/8/quickstyle/simple5" qsCatId="simple" csTypeId="urn:microsoft.com/office/officeart/2005/8/colors/accent0_3" csCatId="mainScheme" phldr="1"/>
      <dgm:spPr/>
      <dgm:t>
        <a:bodyPr/>
        <a:lstStyle/>
        <a:p>
          <a:endParaRPr lang="es-MX"/>
        </a:p>
      </dgm:t>
    </dgm:pt>
    <dgm:pt modelId="{B78839D0-D245-46D3-BBF0-9D013E940C05}">
      <dgm:prSet phldrT="[Texto]" custT="1"/>
      <dgm:spPr/>
      <dgm:t>
        <a:bodyPr/>
        <a:lstStyle/>
        <a:p>
          <a:r>
            <a:rPr lang="es-MX" sz="800" b="1"/>
            <a:t>Titular de la Unidad Técnica Jurídica y de lo Contencioso Electoral</a:t>
          </a:r>
        </a:p>
        <a:p>
          <a:r>
            <a:rPr lang="es-MX" sz="800"/>
            <a:t>Luisa Anahí Galindo Velazco</a:t>
          </a:r>
        </a:p>
        <a:p>
          <a:r>
            <a:rPr lang="es-MX" sz="800"/>
            <a:t>(Estructura)</a:t>
          </a:r>
        </a:p>
      </dgm:t>
    </dgm:pt>
    <dgm:pt modelId="{B5D273EB-D256-4D81-B559-23E0A62FE8C8}" type="parTrans" cxnId="{1CC9F461-44E1-4EDA-84F2-9B4D10A1710D}">
      <dgm:prSet/>
      <dgm:spPr/>
      <dgm:t>
        <a:bodyPr/>
        <a:lstStyle/>
        <a:p>
          <a:endParaRPr lang="es-MX" sz="2800"/>
        </a:p>
      </dgm:t>
    </dgm:pt>
    <dgm:pt modelId="{1299DF61-F139-412D-8CD9-4E3D309C0847}" type="sibTrans" cxnId="{1CC9F461-44E1-4EDA-84F2-9B4D10A1710D}">
      <dgm:prSet/>
      <dgm:spPr/>
      <dgm:t>
        <a:bodyPr/>
        <a:lstStyle/>
        <a:p>
          <a:endParaRPr lang="es-MX" sz="2800"/>
        </a:p>
      </dgm:t>
    </dgm:pt>
    <dgm:pt modelId="{FB022A3E-B550-4E90-8B27-D66A8C6BAF90}">
      <dgm:prSet phldrT="[Texto]" custT="1"/>
      <dgm:spPr/>
      <dgm:t>
        <a:bodyPr/>
        <a:lstStyle/>
        <a:p>
          <a:endParaRPr lang="es-MX" sz="800"/>
        </a:p>
        <a:p>
          <a:r>
            <a:rPr lang="es-MX" sz="800" b="1"/>
            <a:t>Proyectistas de VPMRG:</a:t>
          </a:r>
        </a:p>
        <a:p>
          <a:r>
            <a:rPr lang="es-MX" sz="800"/>
            <a:t>(1) Miguel Ángel García Cruz </a:t>
          </a:r>
        </a:p>
        <a:p>
          <a:r>
            <a:rPr lang="es-MX" sz="800" b="0"/>
            <a:t>(Eventual)</a:t>
          </a:r>
          <a:endParaRPr lang="es-MX" sz="800"/>
        </a:p>
        <a:p>
          <a:r>
            <a:rPr lang="es-MX" sz="800"/>
            <a:t>(2) Irinetzy Miriam Morales Castañeda </a:t>
          </a:r>
          <a:r>
            <a:rPr lang="es-MX" sz="800" b="0"/>
            <a:t>(Eventual)</a:t>
          </a:r>
          <a:endParaRPr lang="es-MX" sz="800"/>
        </a:p>
        <a:p>
          <a:r>
            <a:rPr lang="es-MX" sz="800"/>
            <a:t>(3) Nereida Vaneza Salinas Velazco </a:t>
          </a:r>
          <a:r>
            <a:rPr lang="es-MX" sz="800" b="0"/>
            <a:t>(Eventual)</a:t>
          </a:r>
          <a:endParaRPr lang="es-MX" sz="800"/>
        </a:p>
        <a:p>
          <a:r>
            <a:rPr lang="es-MX" sz="800"/>
            <a:t>(4) Deifilia Joyce García Betanzos </a:t>
          </a:r>
          <a:r>
            <a:rPr lang="es-MX" sz="800" b="0"/>
            <a:t>(Eventual)</a:t>
          </a:r>
          <a:endParaRPr lang="es-MX" sz="800"/>
        </a:p>
        <a:p>
          <a:r>
            <a:rPr lang="es-MX" sz="800"/>
            <a:t>(5) Eventual (Vacante)</a:t>
          </a:r>
        </a:p>
        <a:p>
          <a:r>
            <a:rPr lang="es-MX" sz="800"/>
            <a:t>(6) Eventual (Vacante)</a:t>
          </a:r>
        </a:p>
        <a:p>
          <a:r>
            <a:rPr lang="es-MX" sz="800"/>
            <a:t>(7) Eventual (Vacante)</a:t>
          </a:r>
        </a:p>
        <a:p>
          <a:endParaRPr lang="es-MX" sz="800"/>
        </a:p>
        <a:p>
          <a:r>
            <a:rPr lang="es-MX" sz="800"/>
            <a:t> </a:t>
          </a:r>
        </a:p>
      </dgm:t>
    </dgm:pt>
    <dgm:pt modelId="{F3DF5A91-E1DE-4DDF-BCC2-82EB6A6EB6D4}" type="parTrans" cxnId="{CC78420B-9DFA-46A0-B4D8-41A1893711B2}">
      <dgm:prSet/>
      <dgm:spPr/>
      <dgm:t>
        <a:bodyPr/>
        <a:lstStyle/>
        <a:p>
          <a:endParaRPr lang="es-MX" sz="2800"/>
        </a:p>
      </dgm:t>
    </dgm:pt>
    <dgm:pt modelId="{060541BA-DCC3-41E0-9BEA-A9BB484C4753}" type="sibTrans" cxnId="{CC78420B-9DFA-46A0-B4D8-41A1893711B2}">
      <dgm:prSet/>
      <dgm:spPr/>
      <dgm:t>
        <a:bodyPr/>
        <a:lstStyle/>
        <a:p>
          <a:endParaRPr lang="es-MX" sz="2800"/>
        </a:p>
      </dgm:t>
    </dgm:pt>
    <dgm:pt modelId="{29B9E8EC-20F3-41EC-AB2A-C35569C0503A}">
      <dgm:prSet phldrT="[Texto]" custT="1"/>
      <dgm:spPr/>
      <dgm:t>
        <a:bodyPr/>
        <a:lstStyle/>
        <a:p>
          <a:pPr algn="just"/>
          <a:r>
            <a:rPr lang="es-MX" sz="800" b="1"/>
            <a:t>Coordinador del área de procedimientos por infracciones en materia de vulneración a la normativa electoral, procedimientos ordinarios sancionadores y asuntos jurídicos en la Unidad Técnica.</a:t>
          </a:r>
        </a:p>
        <a:p>
          <a:pPr algn="ctr"/>
          <a:r>
            <a:rPr lang="es-MX" sz="800"/>
            <a:t>Erik Samir Pérez Rojas</a:t>
          </a:r>
        </a:p>
        <a:p>
          <a:pPr algn="ctr"/>
          <a:r>
            <a:rPr lang="es-MX" sz="800"/>
            <a:t>(Estructura)</a:t>
          </a:r>
        </a:p>
      </dgm:t>
    </dgm:pt>
    <dgm:pt modelId="{A1216F79-094E-4E3A-900B-27011E94E64C}" type="parTrans" cxnId="{0F618EFF-F50F-4237-BB6E-A5F3DE768F3C}">
      <dgm:prSet/>
      <dgm:spPr/>
      <dgm:t>
        <a:bodyPr/>
        <a:lstStyle/>
        <a:p>
          <a:endParaRPr lang="es-MX" sz="2800"/>
        </a:p>
      </dgm:t>
    </dgm:pt>
    <dgm:pt modelId="{202D7598-3AE4-426B-B9B1-EA6051DBB3C3}" type="sibTrans" cxnId="{0F618EFF-F50F-4237-BB6E-A5F3DE768F3C}">
      <dgm:prSet/>
      <dgm:spPr/>
      <dgm:t>
        <a:bodyPr/>
        <a:lstStyle/>
        <a:p>
          <a:endParaRPr lang="es-MX" sz="2800"/>
        </a:p>
      </dgm:t>
    </dgm:pt>
    <dgm:pt modelId="{C9FF1A71-77A4-4CC0-88D2-50510F3D4CB9}">
      <dgm:prSet phldrT="[Texto]" custT="1"/>
      <dgm:spPr/>
      <dgm:t>
        <a:bodyPr/>
        <a:lstStyle/>
        <a:p>
          <a:pPr algn="just"/>
          <a:r>
            <a:rPr lang="es-MX" sz="800" b="1"/>
            <a:t>Proyectistas de Procedimientos y Atención de Asuntos Jurídicos (obligaciones de transparencia por incumplimiento de los partidos políticos):</a:t>
          </a:r>
        </a:p>
        <a:p>
          <a:pPr algn="ctr"/>
          <a:r>
            <a:rPr lang="es-MX" sz="800"/>
            <a:t>(1) Ximena Delfina Jiménez López-Eventual</a:t>
          </a:r>
        </a:p>
        <a:p>
          <a:pPr algn="ctr"/>
          <a:r>
            <a:rPr lang="es-MX" sz="800"/>
            <a:t>(2) Julio Cesar Jiménez Sebastián -Eventual</a:t>
          </a:r>
          <a:endParaRPr lang="es-MX" sz="800" b="1"/>
        </a:p>
        <a:p>
          <a:pPr algn="ctr"/>
          <a:r>
            <a:rPr lang="es-MX" sz="800"/>
            <a:t>(3) Eventual (Vacante)</a:t>
          </a:r>
        </a:p>
        <a:p>
          <a:pPr algn="ctr"/>
          <a:r>
            <a:rPr lang="es-MX" sz="800"/>
            <a:t>(4) Eventual (Vacante)</a:t>
          </a:r>
        </a:p>
      </dgm:t>
    </dgm:pt>
    <dgm:pt modelId="{358FA6C8-B4A2-4B88-81D8-92A873CE898D}" type="parTrans" cxnId="{03FA4D5A-61D9-4C56-A592-31927DD3DBEB}">
      <dgm:prSet/>
      <dgm:spPr/>
      <dgm:t>
        <a:bodyPr/>
        <a:lstStyle/>
        <a:p>
          <a:endParaRPr lang="es-MX" sz="2800"/>
        </a:p>
      </dgm:t>
    </dgm:pt>
    <dgm:pt modelId="{1B5D51B8-FB59-4375-9D8D-3706898017B7}" type="sibTrans" cxnId="{03FA4D5A-61D9-4C56-A592-31927DD3DBEB}">
      <dgm:prSet/>
      <dgm:spPr/>
      <dgm:t>
        <a:bodyPr/>
        <a:lstStyle/>
        <a:p>
          <a:endParaRPr lang="es-MX" sz="2800"/>
        </a:p>
      </dgm:t>
    </dgm:pt>
    <dgm:pt modelId="{740D9732-90BF-4AD5-8F97-E3E647F0FD5E}">
      <dgm:prSet phldrT="[Texto]" custT="1"/>
      <dgm:spPr/>
      <dgm:t>
        <a:bodyPr/>
        <a:lstStyle/>
        <a:p>
          <a:r>
            <a:rPr lang="es-MX" sz="800" b="1"/>
            <a:t>Coordinadora del área de Procedimientos Especiales Sancionadores y asuntos relacionados con la prohibición constitucional de actos de violencia política en contra de las mujeres por razón de género.</a:t>
          </a:r>
        </a:p>
        <a:p>
          <a:r>
            <a:rPr lang="es-MX" sz="800"/>
            <a:t>Luvia Janiret Morales Cervantes</a:t>
          </a:r>
        </a:p>
        <a:p>
          <a:r>
            <a:rPr lang="es-MX" sz="800"/>
            <a:t>(Estructura)</a:t>
          </a:r>
        </a:p>
      </dgm:t>
    </dgm:pt>
    <dgm:pt modelId="{BE0BC1F3-96BA-463E-A960-5D2E1E440C4F}" type="sibTrans" cxnId="{56F64A3A-F313-4F9D-9164-8C52650EA867}">
      <dgm:prSet/>
      <dgm:spPr/>
      <dgm:t>
        <a:bodyPr/>
        <a:lstStyle/>
        <a:p>
          <a:endParaRPr lang="es-MX" sz="2800"/>
        </a:p>
      </dgm:t>
    </dgm:pt>
    <dgm:pt modelId="{52A1CA61-54A2-4DBE-9DA6-6C2B1AA9F789}" type="parTrans" cxnId="{56F64A3A-F313-4F9D-9164-8C52650EA867}">
      <dgm:prSet/>
      <dgm:spPr/>
      <dgm:t>
        <a:bodyPr/>
        <a:lstStyle/>
        <a:p>
          <a:endParaRPr lang="es-MX" sz="2800"/>
        </a:p>
      </dgm:t>
    </dgm:pt>
    <dgm:pt modelId="{7A1FE019-EE67-49B4-8F51-B8185481E8EC}">
      <dgm:prSet custT="1"/>
      <dgm:spPr/>
      <dgm:t>
        <a:bodyPr/>
        <a:lstStyle/>
        <a:p>
          <a:r>
            <a:rPr lang="es-MX" sz="800" b="1"/>
            <a:t>Oficialía Electoral</a:t>
          </a:r>
        </a:p>
        <a:p>
          <a:r>
            <a:rPr lang="es-MX" sz="800"/>
            <a:t>(1) Elía Rubí Vásquez Hernández </a:t>
          </a:r>
        </a:p>
        <a:p>
          <a:r>
            <a:rPr lang="es-MX" sz="800"/>
            <a:t>(Eventual)</a:t>
          </a:r>
        </a:p>
      </dgm:t>
    </dgm:pt>
    <dgm:pt modelId="{48B21730-CB72-4C21-9CC4-CE3F7497F5AD}" type="parTrans" cxnId="{38A8433E-4836-4FBB-9F71-E890EF174B84}">
      <dgm:prSet/>
      <dgm:spPr/>
      <dgm:t>
        <a:bodyPr/>
        <a:lstStyle/>
        <a:p>
          <a:endParaRPr lang="es-MX" sz="2800"/>
        </a:p>
      </dgm:t>
    </dgm:pt>
    <dgm:pt modelId="{8E9E3234-1875-4046-9AF1-9B32451500D2}" type="sibTrans" cxnId="{38A8433E-4836-4FBB-9F71-E890EF174B84}">
      <dgm:prSet/>
      <dgm:spPr/>
      <dgm:t>
        <a:bodyPr/>
        <a:lstStyle/>
        <a:p>
          <a:endParaRPr lang="es-MX" sz="2800"/>
        </a:p>
      </dgm:t>
    </dgm:pt>
    <dgm:pt modelId="{A7BDA370-93B7-4671-8154-CFCBC34D71B7}">
      <dgm:prSet custT="1"/>
      <dgm:spPr/>
      <dgm:t>
        <a:bodyPr/>
        <a:lstStyle/>
        <a:p>
          <a:endParaRPr lang="es-MX" sz="800" b="1"/>
        </a:p>
        <a:p>
          <a:r>
            <a:rPr lang="es-MX" sz="800" b="1"/>
            <a:t>Elaboración y práctica de la Notificaciones:</a:t>
          </a:r>
        </a:p>
        <a:p>
          <a:r>
            <a:rPr lang="es-MX" sz="800"/>
            <a:t>(1) Edgardo López Galán (Eventual)</a:t>
          </a:r>
        </a:p>
        <a:p>
          <a:r>
            <a:rPr lang="es-MX" sz="800"/>
            <a:t>(2) Oscar Martínez Martínez </a:t>
          </a:r>
        </a:p>
        <a:p>
          <a:r>
            <a:rPr lang="es-MX" sz="800" b="0"/>
            <a:t>(Eventual)</a:t>
          </a:r>
          <a:endParaRPr lang="es-MX" sz="800"/>
        </a:p>
        <a:p>
          <a:r>
            <a:rPr lang="es-MX" sz="800"/>
            <a:t>(3) Gualberto Yitzhack Zarate Villa </a:t>
          </a:r>
          <a:r>
            <a:rPr lang="es-MX" sz="800" b="0"/>
            <a:t>(Eventual)</a:t>
          </a:r>
          <a:endParaRPr lang="es-MX" sz="800"/>
        </a:p>
        <a:p>
          <a:r>
            <a:rPr lang="es-MX" sz="800"/>
            <a:t>(4) Personal adicional (Vacante)</a:t>
          </a:r>
        </a:p>
        <a:p>
          <a:r>
            <a:rPr lang="es-MX" sz="800"/>
            <a:t>(5) Personal adicional (Vacante) </a:t>
          </a:r>
        </a:p>
        <a:p>
          <a:endParaRPr lang="es-MX" sz="800"/>
        </a:p>
      </dgm:t>
    </dgm:pt>
    <dgm:pt modelId="{7BBEF8FA-E6B1-426E-9BD3-085CF78C830A}" type="parTrans" cxnId="{91DE95F1-1F98-4250-B883-3CE028C9D57F}">
      <dgm:prSet/>
      <dgm:spPr/>
      <dgm:t>
        <a:bodyPr/>
        <a:lstStyle/>
        <a:p>
          <a:endParaRPr lang="es-MX" sz="2800"/>
        </a:p>
      </dgm:t>
    </dgm:pt>
    <dgm:pt modelId="{D26316F1-E37C-478B-9FD1-5776E6A4475C}" type="sibTrans" cxnId="{91DE95F1-1F98-4250-B883-3CE028C9D57F}">
      <dgm:prSet/>
      <dgm:spPr/>
      <dgm:t>
        <a:bodyPr/>
        <a:lstStyle/>
        <a:p>
          <a:endParaRPr lang="es-MX" sz="2800"/>
        </a:p>
      </dgm:t>
    </dgm:pt>
    <dgm:pt modelId="{978F9BC4-8259-41EE-A944-0603B5604251}">
      <dgm:prSet custT="1"/>
      <dgm:spPr/>
      <dgm:t>
        <a:bodyPr/>
        <a:lstStyle/>
        <a:p>
          <a:r>
            <a:rPr lang="es-MX" sz="800" b="1"/>
            <a:t>Oficialía de Partes del IEEPCO:</a:t>
          </a:r>
        </a:p>
        <a:p>
          <a:r>
            <a:rPr lang="es-MX" sz="800"/>
            <a:t>(1) Oscar Jesús Cruz Avendaño </a:t>
          </a:r>
          <a:r>
            <a:rPr lang="es-MX" sz="800" b="0"/>
            <a:t>(Eventual)</a:t>
          </a:r>
          <a:endParaRPr lang="es-MX" sz="800"/>
        </a:p>
        <a:p>
          <a:r>
            <a:rPr lang="es-MX" sz="800"/>
            <a:t>(2) Andrés Ricardo Vaquero Zarate </a:t>
          </a:r>
          <a:r>
            <a:rPr lang="es-MX" sz="800" b="0"/>
            <a:t>(Eventual)</a:t>
          </a:r>
          <a:r>
            <a:rPr lang="es-MX" sz="800"/>
            <a:t> </a:t>
          </a:r>
        </a:p>
        <a:p>
          <a:r>
            <a:rPr lang="es-MX" sz="800"/>
            <a:t>(3) Cinthya Soledad Ruiz Martínez </a:t>
          </a:r>
          <a:r>
            <a:rPr lang="es-MX" sz="800" b="0"/>
            <a:t>(Eventual)</a:t>
          </a:r>
          <a:endParaRPr lang="es-MX" sz="800"/>
        </a:p>
        <a:p>
          <a:endParaRPr lang="es-MX" sz="800"/>
        </a:p>
      </dgm:t>
    </dgm:pt>
    <dgm:pt modelId="{E4190FC2-9AE0-4578-87BB-23C2D7C46EDE}" type="parTrans" cxnId="{5E233681-FB67-4CE1-877A-4AEB27CE5D74}">
      <dgm:prSet/>
      <dgm:spPr/>
      <dgm:t>
        <a:bodyPr/>
        <a:lstStyle/>
        <a:p>
          <a:endParaRPr lang="es-MX" sz="2800"/>
        </a:p>
      </dgm:t>
    </dgm:pt>
    <dgm:pt modelId="{6EC0A461-75F9-4B2E-BC71-6AB141696AF0}" type="sibTrans" cxnId="{5E233681-FB67-4CE1-877A-4AEB27CE5D74}">
      <dgm:prSet/>
      <dgm:spPr/>
      <dgm:t>
        <a:bodyPr/>
        <a:lstStyle/>
        <a:p>
          <a:endParaRPr lang="es-MX" sz="2800"/>
        </a:p>
      </dgm:t>
    </dgm:pt>
    <dgm:pt modelId="{BD93082B-9F3C-4ACB-B2DD-A64A0467D49B}">
      <dgm:prSet custT="1"/>
      <dgm:spPr/>
      <dgm:t>
        <a:bodyPr/>
        <a:lstStyle/>
        <a:p>
          <a:r>
            <a:rPr lang="es-MX" sz="800" b="1"/>
            <a:t>Elaboración de actas:</a:t>
          </a:r>
        </a:p>
        <a:p>
          <a:r>
            <a:rPr lang="es-MX" sz="800"/>
            <a:t>(1) Laura María Sánchez Hernández </a:t>
          </a:r>
        </a:p>
        <a:p>
          <a:r>
            <a:rPr lang="es-MX" sz="800" b="0"/>
            <a:t>(Eventual)</a:t>
          </a:r>
          <a:endParaRPr lang="es-MX" sz="800"/>
        </a:p>
        <a:p>
          <a:endParaRPr lang="es-MX" sz="800"/>
        </a:p>
      </dgm:t>
    </dgm:pt>
    <dgm:pt modelId="{DEE415D0-710E-4B6F-B50B-A30066CF80CA}" type="parTrans" cxnId="{4346F54E-554F-459A-A68B-16F97BF7FEC9}">
      <dgm:prSet/>
      <dgm:spPr/>
      <dgm:t>
        <a:bodyPr/>
        <a:lstStyle/>
        <a:p>
          <a:endParaRPr lang="es-MX" sz="2800"/>
        </a:p>
      </dgm:t>
    </dgm:pt>
    <dgm:pt modelId="{880D71EE-294F-4CDF-ADE0-0914E650A02B}" type="sibTrans" cxnId="{4346F54E-554F-459A-A68B-16F97BF7FEC9}">
      <dgm:prSet/>
      <dgm:spPr/>
      <dgm:t>
        <a:bodyPr/>
        <a:lstStyle/>
        <a:p>
          <a:endParaRPr lang="es-MX" sz="2800"/>
        </a:p>
      </dgm:t>
    </dgm:pt>
    <dgm:pt modelId="{5DA86517-1274-4319-BB72-E42FE9D4CD8D}">
      <dgm:prSet custT="1"/>
      <dgm:spPr/>
      <dgm:t>
        <a:bodyPr/>
        <a:lstStyle/>
        <a:p>
          <a:r>
            <a:rPr lang="es-MX" sz="800" b="1"/>
            <a:t>Encargada de correspondencia interna y archivo histórico:</a:t>
          </a:r>
        </a:p>
        <a:p>
          <a:r>
            <a:rPr lang="es-MX" sz="800" b="0"/>
            <a:t>(1) Erika José Clemente</a:t>
          </a:r>
        </a:p>
        <a:p>
          <a:r>
            <a:rPr lang="es-MX" sz="800" b="0"/>
            <a:t>(Eventual)</a:t>
          </a:r>
        </a:p>
        <a:p>
          <a:endParaRPr lang="es-MX" sz="800" b="1"/>
        </a:p>
      </dgm:t>
    </dgm:pt>
    <dgm:pt modelId="{BE3A2274-8AAD-471A-A5EA-07CDCFE8774E}" type="parTrans" cxnId="{FC27EC15-1072-465B-8EFA-2E425B1EDD94}">
      <dgm:prSet/>
      <dgm:spPr/>
      <dgm:t>
        <a:bodyPr/>
        <a:lstStyle/>
        <a:p>
          <a:endParaRPr lang="es-MX" sz="2800"/>
        </a:p>
      </dgm:t>
    </dgm:pt>
    <dgm:pt modelId="{A058796D-010F-4B66-80F2-5D3A5CEDF27A}" type="sibTrans" cxnId="{FC27EC15-1072-465B-8EFA-2E425B1EDD94}">
      <dgm:prSet/>
      <dgm:spPr/>
      <dgm:t>
        <a:bodyPr/>
        <a:lstStyle/>
        <a:p>
          <a:endParaRPr lang="es-MX" sz="2800"/>
        </a:p>
      </dgm:t>
    </dgm:pt>
    <dgm:pt modelId="{67B00F3B-1C0B-4F3B-93D0-D0B27DA01B5A}" type="pres">
      <dgm:prSet presAssocID="{F463C01F-3867-4C1B-B78F-F67C0B224BD8}" presName="hierChild1" presStyleCnt="0">
        <dgm:presLayoutVars>
          <dgm:chPref val="1"/>
          <dgm:dir/>
          <dgm:animOne val="branch"/>
          <dgm:animLvl val="lvl"/>
          <dgm:resizeHandles/>
        </dgm:presLayoutVars>
      </dgm:prSet>
      <dgm:spPr/>
    </dgm:pt>
    <dgm:pt modelId="{958BD960-6496-4139-9F17-2FB7595F265D}" type="pres">
      <dgm:prSet presAssocID="{B78839D0-D245-46D3-BBF0-9D013E940C05}" presName="hierRoot1" presStyleCnt="0"/>
      <dgm:spPr/>
    </dgm:pt>
    <dgm:pt modelId="{45BE3DE9-82AD-40A0-8AC7-3F7EB0F62EB7}" type="pres">
      <dgm:prSet presAssocID="{B78839D0-D245-46D3-BBF0-9D013E940C05}" presName="composite" presStyleCnt="0"/>
      <dgm:spPr/>
    </dgm:pt>
    <dgm:pt modelId="{F0111423-9F89-4F32-82D6-BB8B627112C9}" type="pres">
      <dgm:prSet presAssocID="{B78839D0-D245-46D3-BBF0-9D013E940C05}" presName="background" presStyleLbl="node0" presStyleIdx="0" presStyleCnt="1"/>
      <dgm:spPr/>
    </dgm:pt>
    <dgm:pt modelId="{020C706F-211B-4C55-9FDE-4309B0FF5B87}" type="pres">
      <dgm:prSet presAssocID="{B78839D0-D245-46D3-BBF0-9D013E940C05}" presName="text" presStyleLbl="fgAcc0" presStyleIdx="0" presStyleCnt="1" custScaleX="439833" custScaleY="245783">
        <dgm:presLayoutVars>
          <dgm:chPref val="3"/>
        </dgm:presLayoutVars>
      </dgm:prSet>
      <dgm:spPr/>
    </dgm:pt>
    <dgm:pt modelId="{AA435E53-F38D-4BD4-8C4B-7DA7FC44A381}" type="pres">
      <dgm:prSet presAssocID="{B78839D0-D245-46D3-BBF0-9D013E940C05}" presName="hierChild2" presStyleCnt="0"/>
      <dgm:spPr/>
    </dgm:pt>
    <dgm:pt modelId="{B5FF7508-6C55-4639-9F20-BD41041CA906}" type="pres">
      <dgm:prSet presAssocID="{52A1CA61-54A2-4DBE-9DA6-6C2B1AA9F789}" presName="Name10" presStyleLbl="parChTrans1D2" presStyleIdx="0" presStyleCnt="6"/>
      <dgm:spPr/>
    </dgm:pt>
    <dgm:pt modelId="{1B8E107B-B641-4BC1-A217-78B3E0DECAB5}" type="pres">
      <dgm:prSet presAssocID="{740D9732-90BF-4AD5-8F97-E3E647F0FD5E}" presName="hierRoot2" presStyleCnt="0"/>
      <dgm:spPr/>
    </dgm:pt>
    <dgm:pt modelId="{6CD253E7-BD42-46BB-8A22-1267712654A0}" type="pres">
      <dgm:prSet presAssocID="{740D9732-90BF-4AD5-8F97-E3E647F0FD5E}" presName="composite2" presStyleCnt="0"/>
      <dgm:spPr/>
    </dgm:pt>
    <dgm:pt modelId="{9F92BB12-49CF-4284-9538-28E338703649}" type="pres">
      <dgm:prSet presAssocID="{740D9732-90BF-4AD5-8F97-E3E647F0FD5E}" presName="background2" presStyleLbl="node2" presStyleIdx="0" presStyleCnt="6"/>
      <dgm:spPr/>
    </dgm:pt>
    <dgm:pt modelId="{A301C317-64F6-4D66-99FC-39C2630EE2E2}" type="pres">
      <dgm:prSet presAssocID="{740D9732-90BF-4AD5-8F97-E3E647F0FD5E}" presName="text2" presStyleLbl="fgAcc2" presStyleIdx="0" presStyleCnt="6" custScaleX="315661" custScaleY="832907">
        <dgm:presLayoutVars>
          <dgm:chPref val="3"/>
        </dgm:presLayoutVars>
      </dgm:prSet>
      <dgm:spPr/>
    </dgm:pt>
    <dgm:pt modelId="{16A6473F-9B20-4E9E-BD21-9C0081A542FF}" type="pres">
      <dgm:prSet presAssocID="{740D9732-90BF-4AD5-8F97-E3E647F0FD5E}" presName="hierChild3" presStyleCnt="0"/>
      <dgm:spPr/>
    </dgm:pt>
    <dgm:pt modelId="{9D7DE9E8-059C-46A3-A814-F192B91F0EC8}" type="pres">
      <dgm:prSet presAssocID="{F3DF5A91-E1DE-4DDF-BCC2-82EB6A6EB6D4}" presName="Name17" presStyleLbl="parChTrans1D3" presStyleIdx="0" presStyleCnt="3"/>
      <dgm:spPr/>
    </dgm:pt>
    <dgm:pt modelId="{6FABEE6A-3BC4-4F28-81EE-6B1B78C0EB16}" type="pres">
      <dgm:prSet presAssocID="{FB022A3E-B550-4E90-8B27-D66A8C6BAF90}" presName="hierRoot3" presStyleCnt="0"/>
      <dgm:spPr/>
    </dgm:pt>
    <dgm:pt modelId="{D787777D-EF6C-4BC1-9C1D-418ADC33D0E7}" type="pres">
      <dgm:prSet presAssocID="{FB022A3E-B550-4E90-8B27-D66A8C6BAF90}" presName="composite3" presStyleCnt="0"/>
      <dgm:spPr/>
    </dgm:pt>
    <dgm:pt modelId="{71BE6143-8711-4646-B929-0DC30591CD9C}" type="pres">
      <dgm:prSet presAssocID="{FB022A3E-B550-4E90-8B27-D66A8C6BAF90}" presName="background3" presStyleLbl="node3" presStyleIdx="0" presStyleCnt="3"/>
      <dgm:spPr/>
    </dgm:pt>
    <dgm:pt modelId="{C9F67064-2A3B-40E8-8529-10EF3970C181}" type="pres">
      <dgm:prSet presAssocID="{FB022A3E-B550-4E90-8B27-D66A8C6BAF90}" presName="text3" presStyleLbl="fgAcc3" presStyleIdx="0" presStyleCnt="3" custScaleX="417504" custScaleY="692906">
        <dgm:presLayoutVars>
          <dgm:chPref val="3"/>
        </dgm:presLayoutVars>
      </dgm:prSet>
      <dgm:spPr/>
    </dgm:pt>
    <dgm:pt modelId="{33E641C4-59CA-404E-9A09-C9354AB6A58B}" type="pres">
      <dgm:prSet presAssocID="{FB022A3E-B550-4E90-8B27-D66A8C6BAF90}" presName="hierChild4" presStyleCnt="0"/>
      <dgm:spPr/>
    </dgm:pt>
    <dgm:pt modelId="{C3E51663-445E-46FA-BFF5-3E803DE80D07}" type="pres">
      <dgm:prSet presAssocID="{7BBEF8FA-E6B1-426E-9BD3-085CF78C830A}" presName="Name10" presStyleLbl="parChTrans1D2" presStyleIdx="1" presStyleCnt="6"/>
      <dgm:spPr/>
    </dgm:pt>
    <dgm:pt modelId="{6C1ACC93-EA34-4370-8230-33FFF2BA79A1}" type="pres">
      <dgm:prSet presAssocID="{A7BDA370-93B7-4671-8154-CFCBC34D71B7}" presName="hierRoot2" presStyleCnt="0"/>
      <dgm:spPr/>
    </dgm:pt>
    <dgm:pt modelId="{75C51909-05DD-47E1-B6F8-B9FD1BFD3EB4}" type="pres">
      <dgm:prSet presAssocID="{A7BDA370-93B7-4671-8154-CFCBC34D71B7}" presName="composite2" presStyleCnt="0"/>
      <dgm:spPr/>
    </dgm:pt>
    <dgm:pt modelId="{E0913733-F2DB-43F1-A64F-2FB7E7FC4FC0}" type="pres">
      <dgm:prSet presAssocID="{A7BDA370-93B7-4671-8154-CFCBC34D71B7}" presName="background2" presStyleLbl="node2" presStyleIdx="1" presStyleCnt="6"/>
      <dgm:spPr/>
    </dgm:pt>
    <dgm:pt modelId="{408EE77D-A202-4BFE-B2C4-BF3FE50CC033}" type="pres">
      <dgm:prSet presAssocID="{A7BDA370-93B7-4671-8154-CFCBC34D71B7}" presName="text2" presStyleLbl="fgAcc2" presStyleIdx="1" presStyleCnt="6" custScaleX="270942" custScaleY="818871">
        <dgm:presLayoutVars>
          <dgm:chPref val="3"/>
        </dgm:presLayoutVars>
      </dgm:prSet>
      <dgm:spPr/>
    </dgm:pt>
    <dgm:pt modelId="{8A039340-AA64-499E-A51E-0D3979479639}" type="pres">
      <dgm:prSet presAssocID="{A7BDA370-93B7-4671-8154-CFCBC34D71B7}" presName="hierChild3" presStyleCnt="0"/>
      <dgm:spPr/>
    </dgm:pt>
    <dgm:pt modelId="{13808908-8ABF-4513-B6F2-44CFE8D88F79}" type="pres">
      <dgm:prSet presAssocID="{E4190FC2-9AE0-4578-87BB-23C2D7C46EDE}" presName="Name10" presStyleLbl="parChTrans1D2" presStyleIdx="2" presStyleCnt="6"/>
      <dgm:spPr/>
    </dgm:pt>
    <dgm:pt modelId="{A1B33DA7-D560-4718-9521-F7E2AC4D842E}" type="pres">
      <dgm:prSet presAssocID="{978F9BC4-8259-41EE-A944-0603B5604251}" presName="hierRoot2" presStyleCnt="0"/>
      <dgm:spPr/>
    </dgm:pt>
    <dgm:pt modelId="{A7AB2266-8512-4746-967F-57EB785E631C}" type="pres">
      <dgm:prSet presAssocID="{978F9BC4-8259-41EE-A944-0603B5604251}" presName="composite2" presStyleCnt="0"/>
      <dgm:spPr/>
    </dgm:pt>
    <dgm:pt modelId="{F890FA47-387C-40EF-AF05-942C66FC0AE9}" type="pres">
      <dgm:prSet presAssocID="{978F9BC4-8259-41EE-A944-0603B5604251}" presName="background2" presStyleLbl="node2" presStyleIdx="2" presStyleCnt="6"/>
      <dgm:spPr/>
    </dgm:pt>
    <dgm:pt modelId="{2C4A0CAD-DA3D-4DED-B0B6-2DA640271625}" type="pres">
      <dgm:prSet presAssocID="{978F9BC4-8259-41EE-A944-0603B5604251}" presName="text2" presStyleLbl="fgAcc2" presStyleIdx="2" presStyleCnt="6" custScaleX="234125" custScaleY="775030">
        <dgm:presLayoutVars>
          <dgm:chPref val="3"/>
        </dgm:presLayoutVars>
      </dgm:prSet>
      <dgm:spPr/>
    </dgm:pt>
    <dgm:pt modelId="{22D3E458-D970-400B-AC21-19B756981CFA}" type="pres">
      <dgm:prSet presAssocID="{978F9BC4-8259-41EE-A944-0603B5604251}" presName="hierChild3" presStyleCnt="0"/>
      <dgm:spPr/>
    </dgm:pt>
    <dgm:pt modelId="{1080C3D2-A75F-4255-8745-5B2D92252494}" type="pres">
      <dgm:prSet presAssocID="{48B21730-CB72-4C21-9CC4-CE3F7497F5AD}" presName="Name10" presStyleLbl="parChTrans1D2" presStyleIdx="3" presStyleCnt="6"/>
      <dgm:spPr/>
    </dgm:pt>
    <dgm:pt modelId="{B824218C-ABFD-4D9C-96F8-789D1CAD739E}" type="pres">
      <dgm:prSet presAssocID="{7A1FE019-EE67-49B4-8F51-B8185481E8EC}" presName="hierRoot2" presStyleCnt="0"/>
      <dgm:spPr/>
    </dgm:pt>
    <dgm:pt modelId="{533C8867-73FA-43FA-B68F-46603931B528}" type="pres">
      <dgm:prSet presAssocID="{7A1FE019-EE67-49B4-8F51-B8185481E8EC}" presName="composite2" presStyleCnt="0"/>
      <dgm:spPr/>
    </dgm:pt>
    <dgm:pt modelId="{0C61410D-3F2A-4998-B3F9-9B90062A9A79}" type="pres">
      <dgm:prSet presAssocID="{7A1FE019-EE67-49B4-8F51-B8185481E8EC}" presName="background2" presStyleLbl="node2" presStyleIdx="3" presStyleCnt="6"/>
      <dgm:spPr/>
    </dgm:pt>
    <dgm:pt modelId="{4EA65AC8-2BE0-4FF4-B23A-AFA0E37E714D}" type="pres">
      <dgm:prSet presAssocID="{7A1FE019-EE67-49B4-8F51-B8185481E8EC}" presName="text2" presStyleLbl="fgAcc2" presStyleIdx="3" presStyleCnt="6" custScaleX="182166" custScaleY="479404">
        <dgm:presLayoutVars>
          <dgm:chPref val="3"/>
        </dgm:presLayoutVars>
      </dgm:prSet>
      <dgm:spPr/>
    </dgm:pt>
    <dgm:pt modelId="{0A3BA662-32ED-4729-A0A5-29050DF1475B}" type="pres">
      <dgm:prSet presAssocID="{7A1FE019-EE67-49B4-8F51-B8185481E8EC}" presName="hierChild3" presStyleCnt="0"/>
      <dgm:spPr/>
    </dgm:pt>
    <dgm:pt modelId="{7019F711-9D72-4987-BB69-08232E2A615B}" type="pres">
      <dgm:prSet presAssocID="{DEE415D0-710E-4B6F-B50B-A30066CF80CA}" presName="Name17" presStyleLbl="parChTrans1D3" presStyleIdx="1" presStyleCnt="3"/>
      <dgm:spPr/>
    </dgm:pt>
    <dgm:pt modelId="{205D49BC-C950-437E-9B27-CFA17E5DF503}" type="pres">
      <dgm:prSet presAssocID="{BD93082B-9F3C-4ACB-B2DD-A64A0467D49B}" presName="hierRoot3" presStyleCnt="0"/>
      <dgm:spPr/>
    </dgm:pt>
    <dgm:pt modelId="{A1BD290C-0B0A-43C2-B576-A365F93EECDD}" type="pres">
      <dgm:prSet presAssocID="{BD93082B-9F3C-4ACB-B2DD-A64A0467D49B}" presName="composite3" presStyleCnt="0"/>
      <dgm:spPr/>
    </dgm:pt>
    <dgm:pt modelId="{572B30EA-7619-4922-9289-C1C22AB6515F}" type="pres">
      <dgm:prSet presAssocID="{BD93082B-9F3C-4ACB-B2DD-A64A0467D49B}" presName="background3" presStyleLbl="node3" presStyleIdx="1" presStyleCnt="3"/>
      <dgm:spPr/>
    </dgm:pt>
    <dgm:pt modelId="{58DE5067-3ECD-4144-922F-5B80D26FDB83}" type="pres">
      <dgm:prSet presAssocID="{BD93082B-9F3C-4ACB-B2DD-A64A0467D49B}" presName="text3" presStyleLbl="fgAcc3" presStyleIdx="1" presStyleCnt="3" custScaleX="180327" custScaleY="494616">
        <dgm:presLayoutVars>
          <dgm:chPref val="3"/>
        </dgm:presLayoutVars>
      </dgm:prSet>
      <dgm:spPr/>
    </dgm:pt>
    <dgm:pt modelId="{03A5E221-9311-4C56-BA39-1E3284B215C7}" type="pres">
      <dgm:prSet presAssocID="{BD93082B-9F3C-4ACB-B2DD-A64A0467D49B}" presName="hierChild4" presStyleCnt="0"/>
      <dgm:spPr/>
    </dgm:pt>
    <dgm:pt modelId="{1AC6D1B2-3D31-4275-926F-4F6CA0B6684D}" type="pres">
      <dgm:prSet presAssocID="{BE3A2274-8AAD-471A-A5EA-07CDCFE8774E}" presName="Name10" presStyleLbl="parChTrans1D2" presStyleIdx="4" presStyleCnt="6"/>
      <dgm:spPr/>
    </dgm:pt>
    <dgm:pt modelId="{8FC2D96A-29A2-4CDB-BF29-5CC68FF9D404}" type="pres">
      <dgm:prSet presAssocID="{5DA86517-1274-4319-BB72-E42FE9D4CD8D}" presName="hierRoot2" presStyleCnt="0"/>
      <dgm:spPr/>
    </dgm:pt>
    <dgm:pt modelId="{43ED4A19-1CFF-44B8-975B-6E430C9B159B}" type="pres">
      <dgm:prSet presAssocID="{5DA86517-1274-4319-BB72-E42FE9D4CD8D}" presName="composite2" presStyleCnt="0"/>
      <dgm:spPr/>
    </dgm:pt>
    <dgm:pt modelId="{130C78A4-4E97-4732-9530-F2C1CA3A8FAC}" type="pres">
      <dgm:prSet presAssocID="{5DA86517-1274-4319-BB72-E42FE9D4CD8D}" presName="background2" presStyleLbl="node2" presStyleIdx="4" presStyleCnt="6"/>
      <dgm:spPr/>
    </dgm:pt>
    <dgm:pt modelId="{5D8860C5-3EB0-4C20-89CE-632A4244D616}" type="pres">
      <dgm:prSet presAssocID="{5DA86517-1274-4319-BB72-E42FE9D4CD8D}" presName="text2" presStyleLbl="fgAcc2" presStyleIdx="4" presStyleCnt="6" custScaleX="184954" custScaleY="461177">
        <dgm:presLayoutVars>
          <dgm:chPref val="3"/>
        </dgm:presLayoutVars>
      </dgm:prSet>
      <dgm:spPr/>
    </dgm:pt>
    <dgm:pt modelId="{98C5FE33-C170-4ED9-ADF7-352C96F340A0}" type="pres">
      <dgm:prSet presAssocID="{5DA86517-1274-4319-BB72-E42FE9D4CD8D}" presName="hierChild3" presStyleCnt="0"/>
      <dgm:spPr/>
    </dgm:pt>
    <dgm:pt modelId="{2EF609D2-5849-495C-9256-01321BD42785}" type="pres">
      <dgm:prSet presAssocID="{A1216F79-094E-4E3A-900B-27011E94E64C}" presName="Name10" presStyleLbl="parChTrans1D2" presStyleIdx="5" presStyleCnt="6"/>
      <dgm:spPr/>
    </dgm:pt>
    <dgm:pt modelId="{556F6E0C-A5DC-4949-B076-51CFEA6E8DC4}" type="pres">
      <dgm:prSet presAssocID="{29B9E8EC-20F3-41EC-AB2A-C35569C0503A}" presName="hierRoot2" presStyleCnt="0"/>
      <dgm:spPr/>
    </dgm:pt>
    <dgm:pt modelId="{B131A869-B774-482A-A6E5-2E438301E83A}" type="pres">
      <dgm:prSet presAssocID="{29B9E8EC-20F3-41EC-AB2A-C35569C0503A}" presName="composite2" presStyleCnt="0"/>
      <dgm:spPr/>
    </dgm:pt>
    <dgm:pt modelId="{6C60ED7D-1E50-4161-A027-038A74ACDAA2}" type="pres">
      <dgm:prSet presAssocID="{29B9E8EC-20F3-41EC-AB2A-C35569C0503A}" presName="background2" presStyleLbl="node2" presStyleIdx="5" presStyleCnt="6"/>
      <dgm:spPr/>
    </dgm:pt>
    <dgm:pt modelId="{84436D86-835E-479E-9440-3707F340E609}" type="pres">
      <dgm:prSet presAssocID="{29B9E8EC-20F3-41EC-AB2A-C35569C0503A}" presName="text2" presStyleLbl="fgAcc2" presStyleIdx="5" presStyleCnt="6" custScaleX="307000" custScaleY="789551">
        <dgm:presLayoutVars>
          <dgm:chPref val="3"/>
        </dgm:presLayoutVars>
      </dgm:prSet>
      <dgm:spPr/>
    </dgm:pt>
    <dgm:pt modelId="{9371B9CC-D615-43D5-A6DF-5ADEF8161196}" type="pres">
      <dgm:prSet presAssocID="{29B9E8EC-20F3-41EC-AB2A-C35569C0503A}" presName="hierChild3" presStyleCnt="0"/>
      <dgm:spPr/>
    </dgm:pt>
    <dgm:pt modelId="{BD4A1F25-E0A2-4647-8E10-C523A897E532}" type="pres">
      <dgm:prSet presAssocID="{358FA6C8-B4A2-4B88-81D8-92A873CE898D}" presName="Name17" presStyleLbl="parChTrans1D3" presStyleIdx="2" presStyleCnt="3"/>
      <dgm:spPr/>
    </dgm:pt>
    <dgm:pt modelId="{9C05B74E-1740-4CE6-B59B-F77FB2BF7A60}" type="pres">
      <dgm:prSet presAssocID="{C9FF1A71-77A4-4CC0-88D2-50510F3D4CB9}" presName="hierRoot3" presStyleCnt="0"/>
      <dgm:spPr/>
    </dgm:pt>
    <dgm:pt modelId="{75812601-9AEB-4B88-95A0-B3E3E4A89A57}" type="pres">
      <dgm:prSet presAssocID="{C9FF1A71-77A4-4CC0-88D2-50510F3D4CB9}" presName="composite3" presStyleCnt="0"/>
      <dgm:spPr/>
    </dgm:pt>
    <dgm:pt modelId="{BE72DD7B-138C-4D3A-A1D1-4913CDA1C455}" type="pres">
      <dgm:prSet presAssocID="{C9FF1A71-77A4-4CC0-88D2-50510F3D4CB9}" presName="background3" presStyleLbl="node3" presStyleIdx="2" presStyleCnt="3"/>
      <dgm:spPr/>
    </dgm:pt>
    <dgm:pt modelId="{9F58779F-2164-4F12-ACCB-DD9D3DE2199D}" type="pres">
      <dgm:prSet presAssocID="{C9FF1A71-77A4-4CC0-88D2-50510F3D4CB9}" presName="text3" presStyleLbl="fgAcc3" presStyleIdx="2" presStyleCnt="3" custScaleX="349172" custScaleY="855512">
        <dgm:presLayoutVars>
          <dgm:chPref val="3"/>
        </dgm:presLayoutVars>
      </dgm:prSet>
      <dgm:spPr/>
    </dgm:pt>
    <dgm:pt modelId="{BFADF375-1955-4C0F-9A5E-3273C66E40D4}" type="pres">
      <dgm:prSet presAssocID="{C9FF1A71-77A4-4CC0-88D2-50510F3D4CB9}" presName="hierChild4" presStyleCnt="0"/>
      <dgm:spPr/>
    </dgm:pt>
  </dgm:ptLst>
  <dgm:cxnLst>
    <dgm:cxn modelId="{7E984700-B596-4036-A745-FEAA2D22FF56}" type="presOf" srcId="{DEE415D0-710E-4B6F-B50B-A30066CF80CA}" destId="{7019F711-9D72-4987-BB69-08232E2A615B}" srcOrd="0" destOrd="0" presId="urn:microsoft.com/office/officeart/2005/8/layout/hierarchy1"/>
    <dgm:cxn modelId="{CC78420B-9DFA-46A0-B4D8-41A1893711B2}" srcId="{740D9732-90BF-4AD5-8F97-E3E647F0FD5E}" destId="{FB022A3E-B550-4E90-8B27-D66A8C6BAF90}" srcOrd="0" destOrd="0" parTransId="{F3DF5A91-E1DE-4DDF-BCC2-82EB6A6EB6D4}" sibTransId="{060541BA-DCC3-41E0-9BEA-A9BB484C4753}"/>
    <dgm:cxn modelId="{FC27EC15-1072-465B-8EFA-2E425B1EDD94}" srcId="{B78839D0-D245-46D3-BBF0-9D013E940C05}" destId="{5DA86517-1274-4319-BB72-E42FE9D4CD8D}" srcOrd="4" destOrd="0" parTransId="{BE3A2274-8AAD-471A-A5EA-07CDCFE8774E}" sibTransId="{A058796D-010F-4B66-80F2-5D3A5CEDF27A}"/>
    <dgm:cxn modelId="{F3BF521A-7EE5-4160-8C87-417CE3230BFD}" type="presOf" srcId="{F463C01F-3867-4C1B-B78F-F67C0B224BD8}" destId="{67B00F3B-1C0B-4F3B-93D0-D0B27DA01B5A}" srcOrd="0" destOrd="0" presId="urn:microsoft.com/office/officeart/2005/8/layout/hierarchy1"/>
    <dgm:cxn modelId="{29D8AE1A-952C-40A4-A160-462D38BFF628}" type="presOf" srcId="{29B9E8EC-20F3-41EC-AB2A-C35569C0503A}" destId="{84436D86-835E-479E-9440-3707F340E609}" srcOrd="0" destOrd="0" presId="urn:microsoft.com/office/officeart/2005/8/layout/hierarchy1"/>
    <dgm:cxn modelId="{18A9C739-F099-4811-AA60-8AEA7996446B}" type="presOf" srcId="{BE3A2274-8AAD-471A-A5EA-07CDCFE8774E}" destId="{1AC6D1B2-3D31-4275-926F-4F6CA0B6684D}" srcOrd="0" destOrd="0" presId="urn:microsoft.com/office/officeart/2005/8/layout/hierarchy1"/>
    <dgm:cxn modelId="{56F64A3A-F313-4F9D-9164-8C52650EA867}" srcId="{B78839D0-D245-46D3-BBF0-9D013E940C05}" destId="{740D9732-90BF-4AD5-8F97-E3E647F0FD5E}" srcOrd="0" destOrd="0" parTransId="{52A1CA61-54A2-4DBE-9DA6-6C2B1AA9F789}" sibTransId="{BE0BC1F3-96BA-463E-A960-5D2E1E440C4F}"/>
    <dgm:cxn modelId="{38A8433E-4836-4FBB-9F71-E890EF174B84}" srcId="{B78839D0-D245-46D3-BBF0-9D013E940C05}" destId="{7A1FE019-EE67-49B4-8F51-B8185481E8EC}" srcOrd="3" destOrd="0" parTransId="{48B21730-CB72-4C21-9CC4-CE3F7497F5AD}" sibTransId="{8E9E3234-1875-4046-9AF1-9B32451500D2}"/>
    <dgm:cxn modelId="{8D51415B-8C9A-4517-8E41-E6717B51DC3F}" type="presOf" srcId="{358FA6C8-B4A2-4B88-81D8-92A873CE898D}" destId="{BD4A1F25-E0A2-4647-8E10-C523A897E532}" srcOrd="0" destOrd="0" presId="urn:microsoft.com/office/officeart/2005/8/layout/hierarchy1"/>
    <dgm:cxn modelId="{1CC9F461-44E1-4EDA-84F2-9B4D10A1710D}" srcId="{F463C01F-3867-4C1B-B78F-F67C0B224BD8}" destId="{B78839D0-D245-46D3-BBF0-9D013E940C05}" srcOrd="0" destOrd="0" parTransId="{B5D273EB-D256-4D81-B559-23E0A62FE8C8}" sibTransId="{1299DF61-F139-412D-8CD9-4E3D309C0847}"/>
    <dgm:cxn modelId="{4346F54E-554F-459A-A68B-16F97BF7FEC9}" srcId="{7A1FE019-EE67-49B4-8F51-B8185481E8EC}" destId="{BD93082B-9F3C-4ACB-B2DD-A64A0467D49B}" srcOrd="0" destOrd="0" parTransId="{DEE415D0-710E-4B6F-B50B-A30066CF80CA}" sibTransId="{880D71EE-294F-4CDF-ADE0-0914E650A02B}"/>
    <dgm:cxn modelId="{94EEB770-0765-4302-958A-9017A900FA76}" type="presOf" srcId="{740D9732-90BF-4AD5-8F97-E3E647F0FD5E}" destId="{A301C317-64F6-4D66-99FC-39C2630EE2E2}" srcOrd="0" destOrd="0" presId="urn:microsoft.com/office/officeart/2005/8/layout/hierarchy1"/>
    <dgm:cxn modelId="{6D291774-EB64-4894-8765-8443A784CA20}" type="presOf" srcId="{FB022A3E-B550-4E90-8B27-D66A8C6BAF90}" destId="{C9F67064-2A3B-40E8-8529-10EF3970C181}" srcOrd="0" destOrd="0" presId="urn:microsoft.com/office/officeart/2005/8/layout/hierarchy1"/>
    <dgm:cxn modelId="{AA74FA54-194E-4C3C-95E5-8CC0CDCBBFF3}" type="presOf" srcId="{A7BDA370-93B7-4671-8154-CFCBC34D71B7}" destId="{408EE77D-A202-4BFE-B2C4-BF3FE50CC033}" srcOrd="0" destOrd="0" presId="urn:microsoft.com/office/officeart/2005/8/layout/hierarchy1"/>
    <dgm:cxn modelId="{CC6F1D56-65D6-463E-9590-E2CBED751D41}" type="presOf" srcId="{A1216F79-094E-4E3A-900B-27011E94E64C}" destId="{2EF609D2-5849-495C-9256-01321BD42785}" srcOrd="0" destOrd="0" presId="urn:microsoft.com/office/officeart/2005/8/layout/hierarchy1"/>
    <dgm:cxn modelId="{A7B1B256-42BB-4C04-BDF4-C970B6C9BABD}" type="presOf" srcId="{978F9BC4-8259-41EE-A944-0603B5604251}" destId="{2C4A0CAD-DA3D-4DED-B0B6-2DA640271625}" srcOrd="0" destOrd="0" presId="urn:microsoft.com/office/officeart/2005/8/layout/hierarchy1"/>
    <dgm:cxn modelId="{03FA4D5A-61D9-4C56-A592-31927DD3DBEB}" srcId="{29B9E8EC-20F3-41EC-AB2A-C35569C0503A}" destId="{C9FF1A71-77A4-4CC0-88D2-50510F3D4CB9}" srcOrd="0" destOrd="0" parTransId="{358FA6C8-B4A2-4B88-81D8-92A873CE898D}" sibTransId="{1B5D51B8-FB59-4375-9D8D-3706898017B7}"/>
    <dgm:cxn modelId="{5E233681-FB67-4CE1-877A-4AEB27CE5D74}" srcId="{B78839D0-D245-46D3-BBF0-9D013E940C05}" destId="{978F9BC4-8259-41EE-A944-0603B5604251}" srcOrd="2" destOrd="0" parTransId="{E4190FC2-9AE0-4578-87BB-23C2D7C46EDE}" sibTransId="{6EC0A461-75F9-4B2E-BC71-6AB141696AF0}"/>
    <dgm:cxn modelId="{3CDBA893-A49B-496B-AF04-C3EBD9AFDFDF}" type="presOf" srcId="{B78839D0-D245-46D3-BBF0-9D013E940C05}" destId="{020C706F-211B-4C55-9FDE-4309B0FF5B87}" srcOrd="0" destOrd="0" presId="urn:microsoft.com/office/officeart/2005/8/layout/hierarchy1"/>
    <dgm:cxn modelId="{AF8DB1A4-23B3-4CC0-BE65-32050D942703}" type="presOf" srcId="{BD93082B-9F3C-4ACB-B2DD-A64A0467D49B}" destId="{58DE5067-3ECD-4144-922F-5B80D26FDB83}" srcOrd="0" destOrd="0" presId="urn:microsoft.com/office/officeart/2005/8/layout/hierarchy1"/>
    <dgm:cxn modelId="{BC4E9EA8-8CD1-434F-AF88-F4E31B87CB28}" type="presOf" srcId="{7A1FE019-EE67-49B4-8F51-B8185481E8EC}" destId="{4EA65AC8-2BE0-4FF4-B23A-AFA0E37E714D}" srcOrd="0" destOrd="0" presId="urn:microsoft.com/office/officeart/2005/8/layout/hierarchy1"/>
    <dgm:cxn modelId="{BAA737C0-E0F9-41D1-A150-7EC14DF74617}" type="presOf" srcId="{C9FF1A71-77A4-4CC0-88D2-50510F3D4CB9}" destId="{9F58779F-2164-4F12-ACCB-DD9D3DE2199D}" srcOrd="0" destOrd="0" presId="urn:microsoft.com/office/officeart/2005/8/layout/hierarchy1"/>
    <dgm:cxn modelId="{5AB3A1C6-DD76-4289-A984-0160415FACBD}" type="presOf" srcId="{E4190FC2-9AE0-4578-87BB-23C2D7C46EDE}" destId="{13808908-8ABF-4513-B6F2-44CFE8D88F79}" srcOrd="0" destOrd="0" presId="urn:microsoft.com/office/officeart/2005/8/layout/hierarchy1"/>
    <dgm:cxn modelId="{7E7DCBC6-1F85-479E-BA1B-93668E25F23E}" type="presOf" srcId="{5DA86517-1274-4319-BB72-E42FE9D4CD8D}" destId="{5D8860C5-3EB0-4C20-89CE-632A4244D616}" srcOrd="0" destOrd="0" presId="urn:microsoft.com/office/officeart/2005/8/layout/hierarchy1"/>
    <dgm:cxn modelId="{708302C7-13E3-4B83-A86D-F694AF437597}" type="presOf" srcId="{7BBEF8FA-E6B1-426E-9BD3-085CF78C830A}" destId="{C3E51663-445E-46FA-BFF5-3E803DE80D07}" srcOrd="0" destOrd="0" presId="urn:microsoft.com/office/officeart/2005/8/layout/hierarchy1"/>
    <dgm:cxn modelId="{0E0907CB-BF17-446B-9072-2A21C79E0AE2}" type="presOf" srcId="{48B21730-CB72-4C21-9CC4-CE3F7497F5AD}" destId="{1080C3D2-A75F-4255-8745-5B2D92252494}" srcOrd="0" destOrd="0" presId="urn:microsoft.com/office/officeart/2005/8/layout/hierarchy1"/>
    <dgm:cxn modelId="{250702ED-C2FD-4B9A-9DFE-FCFF6E68A94A}" type="presOf" srcId="{52A1CA61-54A2-4DBE-9DA6-6C2B1AA9F789}" destId="{B5FF7508-6C55-4639-9F20-BD41041CA906}" srcOrd="0" destOrd="0" presId="urn:microsoft.com/office/officeart/2005/8/layout/hierarchy1"/>
    <dgm:cxn modelId="{91DE95F1-1F98-4250-B883-3CE028C9D57F}" srcId="{B78839D0-D245-46D3-BBF0-9D013E940C05}" destId="{A7BDA370-93B7-4671-8154-CFCBC34D71B7}" srcOrd="1" destOrd="0" parTransId="{7BBEF8FA-E6B1-426E-9BD3-085CF78C830A}" sibTransId="{D26316F1-E37C-478B-9FD1-5776E6A4475C}"/>
    <dgm:cxn modelId="{E143C9F5-A887-46B0-86A6-6A3F5FC772E8}" type="presOf" srcId="{F3DF5A91-E1DE-4DDF-BCC2-82EB6A6EB6D4}" destId="{9D7DE9E8-059C-46A3-A814-F192B91F0EC8}" srcOrd="0" destOrd="0" presId="urn:microsoft.com/office/officeart/2005/8/layout/hierarchy1"/>
    <dgm:cxn modelId="{0F618EFF-F50F-4237-BB6E-A5F3DE768F3C}" srcId="{B78839D0-D245-46D3-BBF0-9D013E940C05}" destId="{29B9E8EC-20F3-41EC-AB2A-C35569C0503A}" srcOrd="5" destOrd="0" parTransId="{A1216F79-094E-4E3A-900B-27011E94E64C}" sibTransId="{202D7598-3AE4-426B-B9B1-EA6051DBB3C3}"/>
    <dgm:cxn modelId="{C6296449-3861-436B-8D6D-0738A2A6F06D}" type="presParOf" srcId="{67B00F3B-1C0B-4F3B-93D0-D0B27DA01B5A}" destId="{958BD960-6496-4139-9F17-2FB7595F265D}" srcOrd="0" destOrd="0" presId="urn:microsoft.com/office/officeart/2005/8/layout/hierarchy1"/>
    <dgm:cxn modelId="{F54F62C4-D294-40E2-B94D-990B4E65BE9D}" type="presParOf" srcId="{958BD960-6496-4139-9F17-2FB7595F265D}" destId="{45BE3DE9-82AD-40A0-8AC7-3F7EB0F62EB7}" srcOrd="0" destOrd="0" presId="urn:microsoft.com/office/officeart/2005/8/layout/hierarchy1"/>
    <dgm:cxn modelId="{009522D4-2CB8-431E-B078-5C702346BA95}" type="presParOf" srcId="{45BE3DE9-82AD-40A0-8AC7-3F7EB0F62EB7}" destId="{F0111423-9F89-4F32-82D6-BB8B627112C9}" srcOrd="0" destOrd="0" presId="urn:microsoft.com/office/officeart/2005/8/layout/hierarchy1"/>
    <dgm:cxn modelId="{04099BD1-3F64-462E-A8AD-2223F2830B9A}" type="presParOf" srcId="{45BE3DE9-82AD-40A0-8AC7-3F7EB0F62EB7}" destId="{020C706F-211B-4C55-9FDE-4309B0FF5B87}" srcOrd="1" destOrd="0" presId="urn:microsoft.com/office/officeart/2005/8/layout/hierarchy1"/>
    <dgm:cxn modelId="{4B8C21AE-5FDC-4EDD-9E04-B4BB511A7097}" type="presParOf" srcId="{958BD960-6496-4139-9F17-2FB7595F265D}" destId="{AA435E53-F38D-4BD4-8C4B-7DA7FC44A381}" srcOrd="1" destOrd="0" presId="urn:microsoft.com/office/officeart/2005/8/layout/hierarchy1"/>
    <dgm:cxn modelId="{DFBA9A3C-024F-4676-8155-D3CD1C112EFD}" type="presParOf" srcId="{AA435E53-F38D-4BD4-8C4B-7DA7FC44A381}" destId="{B5FF7508-6C55-4639-9F20-BD41041CA906}" srcOrd="0" destOrd="0" presId="urn:microsoft.com/office/officeart/2005/8/layout/hierarchy1"/>
    <dgm:cxn modelId="{59CEB2E6-0BBC-4406-A8BF-42603C57D722}" type="presParOf" srcId="{AA435E53-F38D-4BD4-8C4B-7DA7FC44A381}" destId="{1B8E107B-B641-4BC1-A217-78B3E0DECAB5}" srcOrd="1" destOrd="0" presId="urn:microsoft.com/office/officeart/2005/8/layout/hierarchy1"/>
    <dgm:cxn modelId="{EACAE97A-111F-4C23-8C42-CE7FC8F341D2}" type="presParOf" srcId="{1B8E107B-B641-4BC1-A217-78B3E0DECAB5}" destId="{6CD253E7-BD42-46BB-8A22-1267712654A0}" srcOrd="0" destOrd="0" presId="urn:microsoft.com/office/officeart/2005/8/layout/hierarchy1"/>
    <dgm:cxn modelId="{20B76A6C-82A7-45F0-BB3D-2E4B90E8C423}" type="presParOf" srcId="{6CD253E7-BD42-46BB-8A22-1267712654A0}" destId="{9F92BB12-49CF-4284-9538-28E338703649}" srcOrd="0" destOrd="0" presId="urn:microsoft.com/office/officeart/2005/8/layout/hierarchy1"/>
    <dgm:cxn modelId="{2E4E92AF-F39E-4D6E-9B90-C868849FFFA5}" type="presParOf" srcId="{6CD253E7-BD42-46BB-8A22-1267712654A0}" destId="{A301C317-64F6-4D66-99FC-39C2630EE2E2}" srcOrd="1" destOrd="0" presId="urn:microsoft.com/office/officeart/2005/8/layout/hierarchy1"/>
    <dgm:cxn modelId="{F30F7A69-4142-454C-BE96-D3B6E350411A}" type="presParOf" srcId="{1B8E107B-B641-4BC1-A217-78B3E0DECAB5}" destId="{16A6473F-9B20-4E9E-BD21-9C0081A542FF}" srcOrd="1" destOrd="0" presId="urn:microsoft.com/office/officeart/2005/8/layout/hierarchy1"/>
    <dgm:cxn modelId="{F3DF5C04-A25B-4864-9BDA-26BE1156C19C}" type="presParOf" srcId="{16A6473F-9B20-4E9E-BD21-9C0081A542FF}" destId="{9D7DE9E8-059C-46A3-A814-F192B91F0EC8}" srcOrd="0" destOrd="0" presId="urn:microsoft.com/office/officeart/2005/8/layout/hierarchy1"/>
    <dgm:cxn modelId="{23C20F0C-BC5C-4253-8F6A-2BBA8C860862}" type="presParOf" srcId="{16A6473F-9B20-4E9E-BD21-9C0081A542FF}" destId="{6FABEE6A-3BC4-4F28-81EE-6B1B78C0EB16}" srcOrd="1" destOrd="0" presId="urn:microsoft.com/office/officeart/2005/8/layout/hierarchy1"/>
    <dgm:cxn modelId="{6A729D92-7511-4B8C-B98A-3F4AF97ACDAF}" type="presParOf" srcId="{6FABEE6A-3BC4-4F28-81EE-6B1B78C0EB16}" destId="{D787777D-EF6C-4BC1-9C1D-418ADC33D0E7}" srcOrd="0" destOrd="0" presId="urn:microsoft.com/office/officeart/2005/8/layout/hierarchy1"/>
    <dgm:cxn modelId="{3EFEC595-6093-41C0-906A-9BEC8F5359F7}" type="presParOf" srcId="{D787777D-EF6C-4BC1-9C1D-418ADC33D0E7}" destId="{71BE6143-8711-4646-B929-0DC30591CD9C}" srcOrd="0" destOrd="0" presId="urn:microsoft.com/office/officeart/2005/8/layout/hierarchy1"/>
    <dgm:cxn modelId="{0465218B-01CB-403F-A157-1C03392C3034}" type="presParOf" srcId="{D787777D-EF6C-4BC1-9C1D-418ADC33D0E7}" destId="{C9F67064-2A3B-40E8-8529-10EF3970C181}" srcOrd="1" destOrd="0" presId="urn:microsoft.com/office/officeart/2005/8/layout/hierarchy1"/>
    <dgm:cxn modelId="{0BE3325A-BE7F-48EF-82FE-C18598DEEFAC}" type="presParOf" srcId="{6FABEE6A-3BC4-4F28-81EE-6B1B78C0EB16}" destId="{33E641C4-59CA-404E-9A09-C9354AB6A58B}" srcOrd="1" destOrd="0" presId="urn:microsoft.com/office/officeart/2005/8/layout/hierarchy1"/>
    <dgm:cxn modelId="{FD911C5A-4C79-4D9A-AB53-CBFD2224DDE9}" type="presParOf" srcId="{AA435E53-F38D-4BD4-8C4B-7DA7FC44A381}" destId="{C3E51663-445E-46FA-BFF5-3E803DE80D07}" srcOrd="2" destOrd="0" presId="urn:microsoft.com/office/officeart/2005/8/layout/hierarchy1"/>
    <dgm:cxn modelId="{7463AB3C-BB05-4189-A449-EE0814C45CBF}" type="presParOf" srcId="{AA435E53-F38D-4BD4-8C4B-7DA7FC44A381}" destId="{6C1ACC93-EA34-4370-8230-33FFF2BA79A1}" srcOrd="3" destOrd="0" presId="urn:microsoft.com/office/officeart/2005/8/layout/hierarchy1"/>
    <dgm:cxn modelId="{86535AA8-E8CE-45A7-8793-11499C464AD9}" type="presParOf" srcId="{6C1ACC93-EA34-4370-8230-33FFF2BA79A1}" destId="{75C51909-05DD-47E1-B6F8-B9FD1BFD3EB4}" srcOrd="0" destOrd="0" presId="urn:microsoft.com/office/officeart/2005/8/layout/hierarchy1"/>
    <dgm:cxn modelId="{65DB37B4-25E4-406A-847E-207F39ED7F43}" type="presParOf" srcId="{75C51909-05DD-47E1-B6F8-B9FD1BFD3EB4}" destId="{E0913733-F2DB-43F1-A64F-2FB7E7FC4FC0}" srcOrd="0" destOrd="0" presId="urn:microsoft.com/office/officeart/2005/8/layout/hierarchy1"/>
    <dgm:cxn modelId="{F78450C1-90DF-40BD-B793-F22046FF9E24}" type="presParOf" srcId="{75C51909-05DD-47E1-B6F8-B9FD1BFD3EB4}" destId="{408EE77D-A202-4BFE-B2C4-BF3FE50CC033}" srcOrd="1" destOrd="0" presId="urn:microsoft.com/office/officeart/2005/8/layout/hierarchy1"/>
    <dgm:cxn modelId="{B894BD97-E2EA-4EEF-91E9-1578C2571E91}" type="presParOf" srcId="{6C1ACC93-EA34-4370-8230-33FFF2BA79A1}" destId="{8A039340-AA64-499E-A51E-0D3979479639}" srcOrd="1" destOrd="0" presId="urn:microsoft.com/office/officeart/2005/8/layout/hierarchy1"/>
    <dgm:cxn modelId="{CE996AF0-3AD0-4F51-A44F-827261CA0669}" type="presParOf" srcId="{AA435E53-F38D-4BD4-8C4B-7DA7FC44A381}" destId="{13808908-8ABF-4513-B6F2-44CFE8D88F79}" srcOrd="4" destOrd="0" presId="urn:microsoft.com/office/officeart/2005/8/layout/hierarchy1"/>
    <dgm:cxn modelId="{4382DCE5-795A-4212-8F73-A20300531C88}" type="presParOf" srcId="{AA435E53-F38D-4BD4-8C4B-7DA7FC44A381}" destId="{A1B33DA7-D560-4718-9521-F7E2AC4D842E}" srcOrd="5" destOrd="0" presId="urn:microsoft.com/office/officeart/2005/8/layout/hierarchy1"/>
    <dgm:cxn modelId="{BDC8CAF7-A449-49A9-B20F-88AFB08964DB}" type="presParOf" srcId="{A1B33DA7-D560-4718-9521-F7E2AC4D842E}" destId="{A7AB2266-8512-4746-967F-57EB785E631C}" srcOrd="0" destOrd="0" presId="urn:microsoft.com/office/officeart/2005/8/layout/hierarchy1"/>
    <dgm:cxn modelId="{78745E5A-AE25-4602-9B13-414205A0CC53}" type="presParOf" srcId="{A7AB2266-8512-4746-967F-57EB785E631C}" destId="{F890FA47-387C-40EF-AF05-942C66FC0AE9}" srcOrd="0" destOrd="0" presId="urn:microsoft.com/office/officeart/2005/8/layout/hierarchy1"/>
    <dgm:cxn modelId="{51EF9052-DC2F-41AD-AD36-59C19FF13495}" type="presParOf" srcId="{A7AB2266-8512-4746-967F-57EB785E631C}" destId="{2C4A0CAD-DA3D-4DED-B0B6-2DA640271625}" srcOrd="1" destOrd="0" presId="urn:microsoft.com/office/officeart/2005/8/layout/hierarchy1"/>
    <dgm:cxn modelId="{CCC8BF45-3DF5-4FD3-9175-A15B50D29445}" type="presParOf" srcId="{A1B33DA7-D560-4718-9521-F7E2AC4D842E}" destId="{22D3E458-D970-400B-AC21-19B756981CFA}" srcOrd="1" destOrd="0" presId="urn:microsoft.com/office/officeart/2005/8/layout/hierarchy1"/>
    <dgm:cxn modelId="{B3382A9A-0180-4A5E-A0ED-9004B2AF6FEB}" type="presParOf" srcId="{AA435E53-F38D-4BD4-8C4B-7DA7FC44A381}" destId="{1080C3D2-A75F-4255-8745-5B2D92252494}" srcOrd="6" destOrd="0" presId="urn:microsoft.com/office/officeart/2005/8/layout/hierarchy1"/>
    <dgm:cxn modelId="{9DBD935E-FBC9-4F97-B7D0-EDF29A7D6D3B}" type="presParOf" srcId="{AA435E53-F38D-4BD4-8C4B-7DA7FC44A381}" destId="{B824218C-ABFD-4D9C-96F8-789D1CAD739E}" srcOrd="7" destOrd="0" presId="urn:microsoft.com/office/officeart/2005/8/layout/hierarchy1"/>
    <dgm:cxn modelId="{70F60785-2032-4238-8FE2-D8D234447050}" type="presParOf" srcId="{B824218C-ABFD-4D9C-96F8-789D1CAD739E}" destId="{533C8867-73FA-43FA-B68F-46603931B528}" srcOrd="0" destOrd="0" presId="urn:microsoft.com/office/officeart/2005/8/layout/hierarchy1"/>
    <dgm:cxn modelId="{7427831E-09F8-4C6B-A3AB-378864041FFD}" type="presParOf" srcId="{533C8867-73FA-43FA-B68F-46603931B528}" destId="{0C61410D-3F2A-4998-B3F9-9B90062A9A79}" srcOrd="0" destOrd="0" presId="urn:microsoft.com/office/officeart/2005/8/layout/hierarchy1"/>
    <dgm:cxn modelId="{A0AAE077-3731-4EB6-A390-85FB574D63E0}" type="presParOf" srcId="{533C8867-73FA-43FA-B68F-46603931B528}" destId="{4EA65AC8-2BE0-4FF4-B23A-AFA0E37E714D}" srcOrd="1" destOrd="0" presId="urn:microsoft.com/office/officeart/2005/8/layout/hierarchy1"/>
    <dgm:cxn modelId="{D5B614CB-3006-4EC4-A49C-2C1CE8A931D4}" type="presParOf" srcId="{B824218C-ABFD-4D9C-96F8-789D1CAD739E}" destId="{0A3BA662-32ED-4729-A0A5-29050DF1475B}" srcOrd="1" destOrd="0" presId="urn:microsoft.com/office/officeart/2005/8/layout/hierarchy1"/>
    <dgm:cxn modelId="{586720C3-A700-49FA-AFFC-6C104D06DC6E}" type="presParOf" srcId="{0A3BA662-32ED-4729-A0A5-29050DF1475B}" destId="{7019F711-9D72-4987-BB69-08232E2A615B}" srcOrd="0" destOrd="0" presId="urn:microsoft.com/office/officeart/2005/8/layout/hierarchy1"/>
    <dgm:cxn modelId="{2EBC6ED6-D52F-4A63-8DDD-BE58971517F2}" type="presParOf" srcId="{0A3BA662-32ED-4729-A0A5-29050DF1475B}" destId="{205D49BC-C950-437E-9B27-CFA17E5DF503}" srcOrd="1" destOrd="0" presId="urn:microsoft.com/office/officeart/2005/8/layout/hierarchy1"/>
    <dgm:cxn modelId="{5209F969-6F75-4079-9849-D7C067D9067C}" type="presParOf" srcId="{205D49BC-C950-437E-9B27-CFA17E5DF503}" destId="{A1BD290C-0B0A-43C2-B576-A365F93EECDD}" srcOrd="0" destOrd="0" presId="urn:microsoft.com/office/officeart/2005/8/layout/hierarchy1"/>
    <dgm:cxn modelId="{33CDF6AF-2032-41A6-85C6-D18461C7E472}" type="presParOf" srcId="{A1BD290C-0B0A-43C2-B576-A365F93EECDD}" destId="{572B30EA-7619-4922-9289-C1C22AB6515F}" srcOrd="0" destOrd="0" presId="urn:microsoft.com/office/officeart/2005/8/layout/hierarchy1"/>
    <dgm:cxn modelId="{A3A9E083-C613-4978-AD4A-679DF6EA4FD4}" type="presParOf" srcId="{A1BD290C-0B0A-43C2-B576-A365F93EECDD}" destId="{58DE5067-3ECD-4144-922F-5B80D26FDB83}" srcOrd="1" destOrd="0" presId="urn:microsoft.com/office/officeart/2005/8/layout/hierarchy1"/>
    <dgm:cxn modelId="{9BA23C98-0B20-4BED-8787-89750561C4BF}" type="presParOf" srcId="{205D49BC-C950-437E-9B27-CFA17E5DF503}" destId="{03A5E221-9311-4C56-BA39-1E3284B215C7}" srcOrd="1" destOrd="0" presId="urn:microsoft.com/office/officeart/2005/8/layout/hierarchy1"/>
    <dgm:cxn modelId="{0886EB08-3A91-4A25-BF97-6D857C3A7E00}" type="presParOf" srcId="{AA435E53-F38D-4BD4-8C4B-7DA7FC44A381}" destId="{1AC6D1B2-3D31-4275-926F-4F6CA0B6684D}" srcOrd="8" destOrd="0" presId="urn:microsoft.com/office/officeart/2005/8/layout/hierarchy1"/>
    <dgm:cxn modelId="{2211C2B9-E059-48C7-9884-DE9023438160}" type="presParOf" srcId="{AA435E53-F38D-4BD4-8C4B-7DA7FC44A381}" destId="{8FC2D96A-29A2-4CDB-BF29-5CC68FF9D404}" srcOrd="9" destOrd="0" presId="urn:microsoft.com/office/officeart/2005/8/layout/hierarchy1"/>
    <dgm:cxn modelId="{77FADF9F-A50A-45B3-94BB-FBEAF94C1F49}" type="presParOf" srcId="{8FC2D96A-29A2-4CDB-BF29-5CC68FF9D404}" destId="{43ED4A19-1CFF-44B8-975B-6E430C9B159B}" srcOrd="0" destOrd="0" presId="urn:microsoft.com/office/officeart/2005/8/layout/hierarchy1"/>
    <dgm:cxn modelId="{5CB4C84F-25A2-46F4-9659-87018D113FE5}" type="presParOf" srcId="{43ED4A19-1CFF-44B8-975B-6E430C9B159B}" destId="{130C78A4-4E97-4732-9530-F2C1CA3A8FAC}" srcOrd="0" destOrd="0" presId="urn:microsoft.com/office/officeart/2005/8/layout/hierarchy1"/>
    <dgm:cxn modelId="{7A368B0A-05D6-4B8F-A2F1-D56BB6AFF851}" type="presParOf" srcId="{43ED4A19-1CFF-44B8-975B-6E430C9B159B}" destId="{5D8860C5-3EB0-4C20-89CE-632A4244D616}" srcOrd="1" destOrd="0" presId="urn:microsoft.com/office/officeart/2005/8/layout/hierarchy1"/>
    <dgm:cxn modelId="{AA0509D4-BEA2-4B52-BCFA-FC0116C93247}" type="presParOf" srcId="{8FC2D96A-29A2-4CDB-BF29-5CC68FF9D404}" destId="{98C5FE33-C170-4ED9-ADF7-352C96F340A0}" srcOrd="1" destOrd="0" presId="urn:microsoft.com/office/officeart/2005/8/layout/hierarchy1"/>
    <dgm:cxn modelId="{240E0710-2D56-474F-8C5A-3AA8382F88A4}" type="presParOf" srcId="{AA435E53-F38D-4BD4-8C4B-7DA7FC44A381}" destId="{2EF609D2-5849-495C-9256-01321BD42785}" srcOrd="10" destOrd="0" presId="urn:microsoft.com/office/officeart/2005/8/layout/hierarchy1"/>
    <dgm:cxn modelId="{0FCD442B-A8B2-4960-85E4-BFD1B4691049}" type="presParOf" srcId="{AA435E53-F38D-4BD4-8C4B-7DA7FC44A381}" destId="{556F6E0C-A5DC-4949-B076-51CFEA6E8DC4}" srcOrd="11" destOrd="0" presId="urn:microsoft.com/office/officeart/2005/8/layout/hierarchy1"/>
    <dgm:cxn modelId="{589C3818-3476-4AE5-8BF9-943A740B3638}" type="presParOf" srcId="{556F6E0C-A5DC-4949-B076-51CFEA6E8DC4}" destId="{B131A869-B774-482A-A6E5-2E438301E83A}" srcOrd="0" destOrd="0" presId="urn:microsoft.com/office/officeart/2005/8/layout/hierarchy1"/>
    <dgm:cxn modelId="{65605780-2805-45CB-BD8E-6D5755A4518A}" type="presParOf" srcId="{B131A869-B774-482A-A6E5-2E438301E83A}" destId="{6C60ED7D-1E50-4161-A027-038A74ACDAA2}" srcOrd="0" destOrd="0" presId="urn:microsoft.com/office/officeart/2005/8/layout/hierarchy1"/>
    <dgm:cxn modelId="{8020BCA5-9086-4155-AD7C-0FB54046F357}" type="presParOf" srcId="{B131A869-B774-482A-A6E5-2E438301E83A}" destId="{84436D86-835E-479E-9440-3707F340E609}" srcOrd="1" destOrd="0" presId="urn:microsoft.com/office/officeart/2005/8/layout/hierarchy1"/>
    <dgm:cxn modelId="{CD75DCBD-9CA7-4270-A1D7-3712C7CC0DE5}" type="presParOf" srcId="{556F6E0C-A5DC-4949-B076-51CFEA6E8DC4}" destId="{9371B9CC-D615-43D5-A6DF-5ADEF8161196}" srcOrd="1" destOrd="0" presId="urn:microsoft.com/office/officeart/2005/8/layout/hierarchy1"/>
    <dgm:cxn modelId="{C48700FA-486F-4DAC-89E6-074704DC71A3}" type="presParOf" srcId="{9371B9CC-D615-43D5-A6DF-5ADEF8161196}" destId="{BD4A1F25-E0A2-4647-8E10-C523A897E532}" srcOrd="0" destOrd="0" presId="urn:microsoft.com/office/officeart/2005/8/layout/hierarchy1"/>
    <dgm:cxn modelId="{5970D04C-A37A-4FBF-A9D6-8EA32072FA8F}" type="presParOf" srcId="{9371B9CC-D615-43D5-A6DF-5ADEF8161196}" destId="{9C05B74E-1740-4CE6-B59B-F77FB2BF7A60}" srcOrd="1" destOrd="0" presId="urn:microsoft.com/office/officeart/2005/8/layout/hierarchy1"/>
    <dgm:cxn modelId="{B15778D5-1D1C-419A-B370-D8A0C0EF3E23}" type="presParOf" srcId="{9C05B74E-1740-4CE6-B59B-F77FB2BF7A60}" destId="{75812601-9AEB-4B88-95A0-B3E3E4A89A57}" srcOrd="0" destOrd="0" presId="urn:microsoft.com/office/officeart/2005/8/layout/hierarchy1"/>
    <dgm:cxn modelId="{DA08A336-0377-47A7-8A2D-61C7E08BE421}" type="presParOf" srcId="{75812601-9AEB-4B88-95A0-B3E3E4A89A57}" destId="{BE72DD7B-138C-4D3A-A1D1-4913CDA1C455}" srcOrd="0" destOrd="0" presId="urn:microsoft.com/office/officeart/2005/8/layout/hierarchy1"/>
    <dgm:cxn modelId="{7F0AD038-6EA9-4432-B454-04341B81778F}" type="presParOf" srcId="{75812601-9AEB-4B88-95A0-B3E3E4A89A57}" destId="{9F58779F-2164-4F12-ACCB-DD9D3DE2199D}" srcOrd="1" destOrd="0" presId="urn:microsoft.com/office/officeart/2005/8/layout/hierarchy1"/>
    <dgm:cxn modelId="{F1E72D63-CA88-42C3-AE11-56146AE2F11D}" type="presParOf" srcId="{9C05B74E-1740-4CE6-B59B-F77FB2BF7A60}" destId="{BFADF375-1955-4C0F-9A5E-3273C66E40D4}" srcOrd="1" destOrd="0" presId="urn:microsoft.com/office/officeart/2005/8/layout/hierarchy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4A1F25-E0A2-4647-8E10-C523A897E532}">
      <dsp:nvSpPr>
        <dsp:cNvPr id="0" name=""/>
        <dsp:cNvSpPr/>
      </dsp:nvSpPr>
      <dsp:spPr>
        <a:xfrm>
          <a:off x="7621318" y="3059604"/>
          <a:ext cx="91440" cy="129476"/>
        </a:xfrm>
        <a:custGeom>
          <a:avLst/>
          <a:gdLst/>
          <a:ahLst/>
          <a:cxnLst/>
          <a:rect l="0" t="0" r="0" b="0"/>
          <a:pathLst>
            <a:path>
              <a:moveTo>
                <a:pt x="45720" y="0"/>
              </a:moveTo>
              <a:lnTo>
                <a:pt x="45720" y="1294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EF609D2-5849-495C-9256-01321BD42785}">
      <dsp:nvSpPr>
        <dsp:cNvPr id="0" name=""/>
        <dsp:cNvSpPr/>
      </dsp:nvSpPr>
      <dsp:spPr>
        <a:xfrm>
          <a:off x="4775604" y="698089"/>
          <a:ext cx="2891433" cy="129476"/>
        </a:xfrm>
        <a:custGeom>
          <a:avLst/>
          <a:gdLst/>
          <a:ahLst/>
          <a:cxnLst/>
          <a:rect l="0" t="0" r="0" b="0"/>
          <a:pathLst>
            <a:path>
              <a:moveTo>
                <a:pt x="0" y="0"/>
              </a:moveTo>
              <a:lnTo>
                <a:pt x="0" y="88234"/>
              </a:lnTo>
              <a:lnTo>
                <a:pt x="2891433" y="88234"/>
              </a:lnTo>
              <a:lnTo>
                <a:pt x="2891433"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AC6D1B2-3D31-4275-926F-4F6CA0B6684D}">
      <dsp:nvSpPr>
        <dsp:cNvPr id="0" name=""/>
        <dsp:cNvSpPr/>
      </dsp:nvSpPr>
      <dsp:spPr>
        <a:xfrm>
          <a:off x="4775604" y="698089"/>
          <a:ext cx="1697430" cy="129476"/>
        </a:xfrm>
        <a:custGeom>
          <a:avLst/>
          <a:gdLst/>
          <a:ahLst/>
          <a:cxnLst/>
          <a:rect l="0" t="0" r="0" b="0"/>
          <a:pathLst>
            <a:path>
              <a:moveTo>
                <a:pt x="0" y="0"/>
              </a:moveTo>
              <a:lnTo>
                <a:pt x="0" y="88234"/>
              </a:lnTo>
              <a:lnTo>
                <a:pt x="1697430" y="88234"/>
              </a:lnTo>
              <a:lnTo>
                <a:pt x="1697430"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019F711-9D72-4987-BB69-08232E2A615B}">
      <dsp:nvSpPr>
        <dsp:cNvPr id="0" name=""/>
        <dsp:cNvSpPr/>
      </dsp:nvSpPr>
      <dsp:spPr>
        <a:xfrm>
          <a:off x="5511188" y="2182827"/>
          <a:ext cx="91440" cy="129476"/>
        </a:xfrm>
        <a:custGeom>
          <a:avLst/>
          <a:gdLst/>
          <a:ahLst/>
          <a:cxnLst/>
          <a:rect l="0" t="0" r="0" b="0"/>
          <a:pathLst>
            <a:path>
              <a:moveTo>
                <a:pt x="45720" y="0"/>
              </a:moveTo>
              <a:lnTo>
                <a:pt x="45720" y="1294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080C3D2-A75F-4255-8745-5B2D92252494}">
      <dsp:nvSpPr>
        <dsp:cNvPr id="0" name=""/>
        <dsp:cNvSpPr/>
      </dsp:nvSpPr>
      <dsp:spPr>
        <a:xfrm>
          <a:off x="4775604" y="698089"/>
          <a:ext cx="781304" cy="129476"/>
        </a:xfrm>
        <a:custGeom>
          <a:avLst/>
          <a:gdLst/>
          <a:ahLst/>
          <a:cxnLst/>
          <a:rect l="0" t="0" r="0" b="0"/>
          <a:pathLst>
            <a:path>
              <a:moveTo>
                <a:pt x="0" y="0"/>
              </a:moveTo>
              <a:lnTo>
                <a:pt x="0" y="88234"/>
              </a:lnTo>
              <a:lnTo>
                <a:pt x="781304" y="88234"/>
              </a:lnTo>
              <a:lnTo>
                <a:pt x="781304"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3808908-8ABF-4513-B6F2-44CFE8D88F79}">
      <dsp:nvSpPr>
        <dsp:cNvPr id="0" name=""/>
        <dsp:cNvSpPr/>
      </dsp:nvSpPr>
      <dsp:spPr>
        <a:xfrm>
          <a:off x="4531329" y="698089"/>
          <a:ext cx="244275" cy="129476"/>
        </a:xfrm>
        <a:custGeom>
          <a:avLst/>
          <a:gdLst/>
          <a:ahLst/>
          <a:cxnLst/>
          <a:rect l="0" t="0" r="0" b="0"/>
          <a:pathLst>
            <a:path>
              <a:moveTo>
                <a:pt x="244275" y="0"/>
              </a:moveTo>
              <a:lnTo>
                <a:pt x="244275" y="88234"/>
              </a:lnTo>
              <a:lnTo>
                <a:pt x="0" y="88234"/>
              </a:lnTo>
              <a:lnTo>
                <a:pt x="0"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E51663-445E-46FA-BFF5-3E803DE80D07}">
      <dsp:nvSpPr>
        <dsp:cNvPr id="0" name=""/>
        <dsp:cNvSpPr/>
      </dsp:nvSpPr>
      <dsp:spPr>
        <a:xfrm>
          <a:off x="3308137" y="698089"/>
          <a:ext cx="1467466" cy="129476"/>
        </a:xfrm>
        <a:custGeom>
          <a:avLst/>
          <a:gdLst/>
          <a:ahLst/>
          <a:cxnLst/>
          <a:rect l="0" t="0" r="0" b="0"/>
          <a:pathLst>
            <a:path>
              <a:moveTo>
                <a:pt x="1467466" y="0"/>
              </a:moveTo>
              <a:lnTo>
                <a:pt x="1467466" y="88234"/>
              </a:lnTo>
              <a:lnTo>
                <a:pt x="0" y="88234"/>
              </a:lnTo>
              <a:lnTo>
                <a:pt x="0"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DE9E8-059C-46A3-A814-F192B91F0EC8}">
      <dsp:nvSpPr>
        <dsp:cNvPr id="0" name=""/>
        <dsp:cNvSpPr/>
      </dsp:nvSpPr>
      <dsp:spPr>
        <a:xfrm>
          <a:off x="1857730" y="3182170"/>
          <a:ext cx="91440" cy="129476"/>
        </a:xfrm>
        <a:custGeom>
          <a:avLst/>
          <a:gdLst/>
          <a:ahLst/>
          <a:cxnLst/>
          <a:rect l="0" t="0" r="0" b="0"/>
          <a:pathLst>
            <a:path>
              <a:moveTo>
                <a:pt x="45720" y="0"/>
              </a:moveTo>
              <a:lnTo>
                <a:pt x="45720" y="129476"/>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5FF7508-6C55-4639-9F20-BD41041CA906}">
      <dsp:nvSpPr>
        <dsp:cNvPr id="0" name=""/>
        <dsp:cNvSpPr/>
      </dsp:nvSpPr>
      <dsp:spPr>
        <a:xfrm>
          <a:off x="1903450" y="698089"/>
          <a:ext cx="2872154" cy="129476"/>
        </a:xfrm>
        <a:custGeom>
          <a:avLst/>
          <a:gdLst/>
          <a:ahLst/>
          <a:cxnLst/>
          <a:rect l="0" t="0" r="0" b="0"/>
          <a:pathLst>
            <a:path>
              <a:moveTo>
                <a:pt x="2872154" y="0"/>
              </a:moveTo>
              <a:lnTo>
                <a:pt x="2872154" y="88234"/>
              </a:lnTo>
              <a:lnTo>
                <a:pt x="0" y="88234"/>
              </a:lnTo>
              <a:lnTo>
                <a:pt x="0" y="129476"/>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111423-9F89-4F32-82D6-BB8B627112C9}">
      <dsp:nvSpPr>
        <dsp:cNvPr id="0" name=""/>
        <dsp:cNvSpPr/>
      </dsp:nvSpPr>
      <dsp:spPr>
        <a:xfrm>
          <a:off x="3796553" y="3268"/>
          <a:ext cx="1958102" cy="694821"/>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020C706F-211B-4C55-9FDE-4309B0FF5B87}">
      <dsp:nvSpPr>
        <dsp:cNvPr id="0" name=""/>
        <dsp:cNvSpPr/>
      </dsp:nvSpPr>
      <dsp:spPr>
        <a:xfrm>
          <a:off x="3846019" y="50260"/>
          <a:ext cx="1958102" cy="694821"/>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Titular de la Unidad Técnica Jurídica y de lo Contencioso Electoral</a:t>
          </a:r>
        </a:p>
        <a:p>
          <a:pPr marL="0" lvl="0" indent="0" algn="ctr" defTabSz="355600">
            <a:lnSpc>
              <a:spcPct val="90000"/>
            </a:lnSpc>
            <a:spcBef>
              <a:spcPct val="0"/>
            </a:spcBef>
            <a:spcAft>
              <a:spcPct val="35000"/>
            </a:spcAft>
            <a:buNone/>
          </a:pPr>
          <a:r>
            <a:rPr lang="es-MX" sz="800" kern="1200"/>
            <a:t>Luisa Anahí Galindo Velazco</a:t>
          </a:r>
        </a:p>
        <a:p>
          <a:pPr marL="0" lvl="0" indent="0" algn="ctr" defTabSz="355600">
            <a:lnSpc>
              <a:spcPct val="90000"/>
            </a:lnSpc>
            <a:spcBef>
              <a:spcPct val="0"/>
            </a:spcBef>
            <a:spcAft>
              <a:spcPct val="35000"/>
            </a:spcAft>
            <a:buNone/>
          </a:pPr>
          <a:r>
            <a:rPr lang="es-MX" sz="800" kern="1200"/>
            <a:t>(Estructura)</a:t>
          </a:r>
        </a:p>
      </dsp:txBody>
      <dsp:txXfrm>
        <a:off x="3866370" y="70611"/>
        <a:ext cx="1917400" cy="654119"/>
      </dsp:txXfrm>
    </dsp:sp>
    <dsp:sp modelId="{9F92BB12-49CF-4284-9538-28E338703649}">
      <dsp:nvSpPr>
        <dsp:cNvPr id="0" name=""/>
        <dsp:cNvSpPr/>
      </dsp:nvSpPr>
      <dsp:spPr>
        <a:xfrm>
          <a:off x="1200801" y="827566"/>
          <a:ext cx="1405298" cy="2354604"/>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A301C317-64F6-4D66-99FC-39C2630EE2E2}">
      <dsp:nvSpPr>
        <dsp:cNvPr id="0" name=""/>
        <dsp:cNvSpPr/>
      </dsp:nvSpPr>
      <dsp:spPr>
        <a:xfrm>
          <a:off x="1250266" y="874558"/>
          <a:ext cx="1405298" cy="2354604"/>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Coordinadora del área de Procedimientos Especiales Sancionadores y asuntos relacionados con la prohibición constitucional de actos de violencia política en contra de las mujeres por razón de género.</a:t>
          </a:r>
        </a:p>
        <a:p>
          <a:pPr marL="0" lvl="0" indent="0" algn="ctr" defTabSz="355600">
            <a:lnSpc>
              <a:spcPct val="90000"/>
            </a:lnSpc>
            <a:spcBef>
              <a:spcPct val="0"/>
            </a:spcBef>
            <a:spcAft>
              <a:spcPct val="35000"/>
            </a:spcAft>
            <a:buNone/>
          </a:pPr>
          <a:r>
            <a:rPr lang="es-MX" sz="800" kern="1200"/>
            <a:t>Luvia Janiret Morales Cervantes</a:t>
          </a:r>
        </a:p>
        <a:p>
          <a:pPr marL="0" lvl="0" indent="0" algn="ctr" defTabSz="355600">
            <a:lnSpc>
              <a:spcPct val="90000"/>
            </a:lnSpc>
            <a:spcBef>
              <a:spcPct val="0"/>
            </a:spcBef>
            <a:spcAft>
              <a:spcPct val="35000"/>
            </a:spcAft>
            <a:buNone/>
          </a:pPr>
          <a:r>
            <a:rPr lang="es-MX" sz="800" kern="1200"/>
            <a:t>(Estructura)</a:t>
          </a:r>
        </a:p>
      </dsp:txBody>
      <dsp:txXfrm>
        <a:off x="1291426" y="915718"/>
        <a:ext cx="1322978" cy="2272284"/>
      </dsp:txXfrm>
    </dsp:sp>
    <dsp:sp modelId="{71BE6143-8711-4646-B929-0DC30591CD9C}">
      <dsp:nvSpPr>
        <dsp:cNvPr id="0" name=""/>
        <dsp:cNvSpPr/>
      </dsp:nvSpPr>
      <dsp:spPr>
        <a:xfrm>
          <a:off x="974102" y="3311647"/>
          <a:ext cx="1858695" cy="1958825"/>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C9F67064-2A3B-40E8-8529-10EF3970C181}">
      <dsp:nvSpPr>
        <dsp:cNvPr id="0" name=""/>
        <dsp:cNvSpPr/>
      </dsp:nvSpPr>
      <dsp:spPr>
        <a:xfrm>
          <a:off x="1023568" y="3358640"/>
          <a:ext cx="1858695" cy="1958825"/>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es-MX" sz="800" kern="1200"/>
        </a:p>
        <a:p>
          <a:pPr marL="0" lvl="0" indent="0" algn="ctr" defTabSz="355600">
            <a:lnSpc>
              <a:spcPct val="90000"/>
            </a:lnSpc>
            <a:spcBef>
              <a:spcPct val="0"/>
            </a:spcBef>
            <a:spcAft>
              <a:spcPct val="35000"/>
            </a:spcAft>
            <a:buNone/>
          </a:pPr>
          <a:r>
            <a:rPr lang="es-MX" sz="800" b="1" kern="1200"/>
            <a:t>Proyectistas de VPMRG:</a:t>
          </a:r>
        </a:p>
        <a:p>
          <a:pPr marL="0" lvl="0" indent="0" algn="ctr" defTabSz="355600">
            <a:lnSpc>
              <a:spcPct val="90000"/>
            </a:lnSpc>
            <a:spcBef>
              <a:spcPct val="0"/>
            </a:spcBef>
            <a:spcAft>
              <a:spcPct val="35000"/>
            </a:spcAft>
            <a:buNone/>
          </a:pPr>
          <a:r>
            <a:rPr lang="es-MX" sz="800" kern="1200"/>
            <a:t>(1) Miguel Ángel García Cruz </a:t>
          </a:r>
        </a:p>
        <a:p>
          <a:pPr marL="0" lvl="0" indent="0" algn="ctr" defTabSz="355600">
            <a:lnSpc>
              <a:spcPct val="90000"/>
            </a:lnSpc>
            <a:spcBef>
              <a:spcPct val="0"/>
            </a:spcBef>
            <a:spcAft>
              <a:spcPct val="35000"/>
            </a:spcAft>
            <a:buNone/>
          </a:pP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(2) Irinetzy Miriam Morales Castañeda </a:t>
          </a: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(3) Nereida Vaneza Salinas Velazco </a:t>
          </a: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(4) Deifilia Joyce García Betanzos </a:t>
          </a: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(5) Eventual (Vacante)</a:t>
          </a:r>
        </a:p>
        <a:p>
          <a:pPr marL="0" lvl="0" indent="0" algn="ctr" defTabSz="355600">
            <a:lnSpc>
              <a:spcPct val="90000"/>
            </a:lnSpc>
            <a:spcBef>
              <a:spcPct val="0"/>
            </a:spcBef>
            <a:spcAft>
              <a:spcPct val="35000"/>
            </a:spcAft>
            <a:buNone/>
          </a:pPr>
          <a:r>
            <a:rPr lang="es-MX" sz="800" kern="1200"/>
            <a:t>(6) Eventual (Vacante)</a:t>
          </a:r>
        </a:p>
        <a:p>
          <a:pPr marL="0" lvl="0" indent="0" algn="ctr" defTabSz="355600">
            <a:lnSpc>
              <a:spcPct val="90000"/>
            </a:lnSpc>
            <a:spcBef>
              <a:spcPct val="0"/>
            </a:spcBef>
            <a:spcAft>
              <a:spcPct val="35000"/>
            </a:spcAft>
            <a:buNone/>
          </a:pPr>
          <a:r>
            <a:rPr lang="es-MX" sz="800" kern="1200"/>
            <a:t>(7) Eventual (Vacante)</a:t>
          </a:r>
        </a:p>
        <a:p>
          <a:pPr marL="0" lvl="0" indent="0" algn="ctr" defTabSz="355600">
            <a:lnSpc>
              <a:spcPct val="90000"/>
            </a:lnSpc>
            <a:spcBef>
              <a:spcPct val="0"/>
            </a:spcBef>
            <a:spcAft>
              <a:spcPct val="35000"/>
            </a:spcAft>
            <a:buNone/>
          </a:pPr>
          <a:endParaRPr lang="es-MX" sz="800" kern="1200"/>
        </a:p>
        <a:p>
          <a:pPr marL="0" lvl="0" indent="0" algn="ctr" defTabSz="355600">
            <a:lnSpc>
              <a:spcPct val="90000"/>
            </a:lnSpc>
            <a:spcBef>
              <a:spcPct val="0"/>
            </a:spcBef>
            <a:spcAft>
              <a:spcPct val="35000"/>
            </a:spcAft>
            <a:buNone/>
          </a:pPr>
          <a:r>
            <a:rPr lang="es-MX" sz="800" kern="1200"/>
            <a:t> </a:t>
          </a:r>
        </a:p>
      </dsp:txBody>
      <dsp:txXfrm>
        <a:off x="1078007" y="3413079"/>
        <a:ext cx="1749817" cy="1849947"/>
      </dsp:txXfrm>
    </dsp:sp>
    <dsp:sp modelId="{E0913733-F2DB-43F1-A64F-2FB7E7FC4FC0}">
      <dsp:nvSpPr>
        <dsp:cNvPr id="0" name=""/>
        <dsp:cNvSpPr/>
      </dsp:nvSpPr>
      <dsp:spPr>
        <a:xfrm>
          <a:off x="2705031" y="827566"/>
          <a:ext cx="1206213" cy="2314924"/>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408EE77D-A202-4BFE-B2C4-BF3FE50CC033}">
      <dsp:nvSpPr>
        <dsp:cNvPr id="0" name=""/>
        <dsp:cNvSpPr/>
      </dsp:nvSpPr>
      <dsp:spPr>
        <a:xfrm>
          <a:off x="2754497" y="874558"/>
          <a:ext cx="1206213" cy="2314924"/>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endParaRPr lang="es-MX" sz="800" b="1" kern="1200"/>
        </a:p>
        <a:p>
          <a:pPr marL="0" lvl="0" indent="0" algn="ctr" defTabSz="355600">
            <a:lnSpc>
              <a:spcPct val="90000"/>
            </a:lnSpc>
            <a:spcBef>
              <a:spcPct val="0"/>
            </a:spcBef>
            <a:spcAft>
              <a:spcPct val="35000"/>
            </a:spcAft>
            <a:buNone/>
          </a:pPr>
          <a:r>
            <a:rPr lang="es-MX" sz="800" b="1" kern="1200"/>
            <a:t>Elaboración y práctica de la Notificaciones:</a:t>
          </a:r>
        </a:p>
        <a:p>
          <a:pPr marL="0" lvl="0" indent="0" algn="ctr" defTabSz="355600">
            <a:lnSpc>
              <a:spcPct val="90000"/>
            </a:lnSpc>
            <a:spcBef>
              <a:spcPct val="0"/>
            </a:spcBef>
            <a:spcAft>
              <a:spcPct val="35000"/>
            </a:spcAft>
            <a:buNone/>
          </a:pPr>
          <a:r>
            <a:rPr lang="es-MX" sz="800" kern="1200"/>
            <a:t>(1) Edgardo López Galán (Eventual)</a:t>
          </a:r>
        </a:p>
        <a:p>
          <a:pPr marL="0" lvl="0" indent="0" algn="ctr" defTabSz="355600">
            <a:lnSpc>
              <a:spcPct val="90000"/>
            </a:lnSpc>
            <a:spcBef>
              <a:spcPct val="0"/>
            </a:spcBef>
            <a:spcAft>
              <a:spcPct val="35000"/>
            </a:spcAft>
            <a:buNone/>
          </a:pPr>
          <a:r>
            <a:rPr lang="es-MX" sz="800" kern="1200"/>
            <a:t>(2) Oscar Martínez Martínez </a:t>
          </a:r>
        </a:p>
        <a:p>
          <a:pPr marL="0" lvl="0" indent="0" algn="ctr" defTabSz="355600">
            <a:lnSpc>
              <a:spcPct val="90000"/>
            </a:lnSpc>
            <a:spcBef>
              <a:spcPct val="0"/>
            </a:spcBef>
            <a:spcAft>
              <a:spcPct val="35000"/>
            </a:spcAft>
            <a:buNone/>
          </a:pP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(3) Gualberto Yitzhack Zarate Villa </a:t>
          </a: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(4) Personal adicional (Vacante)</a:t>
          </a:r>
        </a:p>
        <a:p>
          <a:pPr marL="0" lvl="0" indent="0" algn="ctr" defTabSz="355600">
            <a:lnSpc>
              <a:spcPct val="90000"/>
            </a:lnSpc>
            <a:spcBef>
              <a:spcPct val="0"/>
            </a:spcBef>
            <a:spcAft>
              <a:spcPct val="35000"/>
            </a:spcAft>
            <a:buNone/>
          </a:pPr>
          <a:r>
            <a:rPr lang="es-MX" sz="800" kern="1200"/>
            <a:t>(5) Personal adicional (Vacante) </a:t>
          </a:r>
        </a:p>
        <a:p>
          <a:pPr marL="0" lvl="0" indent="0" algn="ctr" defTabSz="355600">
            <a:lnSpc>
              <a:spcPct val="90000"/>
            </a:lnSpc>
            <a:spcBef>
              <a:spcPct val="0"/>
            </a:spcBef>
            <a:spcAft>
              <a:spcPct val="35000"/>
            </a:spcAft>
            <a:buNone/>
          </a:pPr>
          <a:endParaRPr lang="es-MX" sz="800" kern="1200"/>
        </a:p>
      </dsp:txBody>
      <dsp:txXfrm>
        <a:off x="2789826" y="909887"/>
        <a:ext cx="1135555" cy="2244266"/>
      </dsp:txXfrm>
    </dsp:sp>
    <dsp:sp modelId="{F890FA47-387C-40EF-AF05-942C66FC0AE9}">
      <dsp:nvSpPr>
        <dsp:cNvPr id="0" name=""/>
        <dsp:cNvSpPr/>
      </dsp:nvSpPr>
      <dsp:spPr>
        <a:xfrm>
          <a:off x="4010176" y="827566"/>
          <a:ext cx="1042306" cy="2190987"/>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2C4A0CAD-DA3D-4DED-B0B6-2DA640271625}">
      <dsp:nvSpPr>
        <dsp:cNvPr id="0" name=""/>
        <dsp:cNvSpPr/>
      </dsp:nvSpPr>
      <dsp:spPr>
        <a:xfrm>
          <a:off x="4059641" y="874558"/>
          <a:ext cx="1042306" cy="2190987"/>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Oficialía de Partes del IEEPCO:</a:t>
          </a:r>
        </a:p>
        <a:p>
          <a:pPr marL="0" lvl="0" indent="0" algn="ctr" defTabSz="355600">
            <a:lnSpc>
              <a:spcPct val="90000"/>
            </a:lnSpc>
            <a:spcBef>
              <a:spcPct val="0"/>
            </a:spcBef>
            <a:spcAft>
              <a:spcPct val="35000"/>
            </a:spcAft>
            <a:buNone/>
          </a:pPr>
          <a:r>
            <a:rPr lang="es-MX" sz="800" kern="1200"/>
            <a:t>(1) Oscar Jesús Cruz Avendaño </a:t>
          </a:r>
          <a:r>
            <a:rPr lang="es-MX" sz="800" b="0" kern="1200"/>
            <a:t>(Eventual)</a:t>
          </a:r>
          <a:endParaRPr lang="es-MX" sz="800" kern="1200"/>
        </a:p>
        <a:p>
          <a:pPr marL="0" lvl="0" indent="0" algn="ctr" defTabSz="355600">
            <a:lnSpc>
              <a:spcPct val="90000"/>
            </a:lnSpc>
            <a:spcBef>
              <a:spcPct val="0"/>
            </a:spcBef>
            <a:spcAft>
              <a:spcPct val="35000"/>
            </a:spcAft>
            <a:buNone/>
          </a:pPr>
          <a:r>
            <a:rPr lang="es-MX" sz="800" kern="1200"/>
            <a:t>(2) Andrés Ricardo Vaquero Zarate </a:t>
          </a:r>
          <a:r>
            <a:rPr lang="es-MX" sz="800" b="0" kern="1200"/>
            <a:t>(Eventual)</a:t>
          </a:r>
          <a:r>
            <a:rPr lang="es-MX" sz="800" kern="1200"/>
            <a:t> </a:t>
          </a:r>
        </a:p>
        <a:p>
          <a:pPr marL="0" lvl="0" indent="0" algn="ctr" defTabSz="355600">
            <a:lnSpc>
              <a:spcPct val="90000"/>
            </a:lnSpc>
            <a:spcBef>
              <a:spcPct val="0"/>
            </a:spcBef>
            <a:spcAft>
              <a:spcPct val="35000"/>
            </a:spcAft>
            <a:buNone/>
          </a:pPr>
          <a:r>
            <a:rPr lang="es-MX" sz="800" kern="1200"/>
            <a:t>(3) Cinthya Soledad Ruiz Martínez </a:t>
          </a:r>
          <a:r>
            <a:rPr lang="es-MX" sz="800" b="0" kern="1200"/>
            <a:t>(Eventual)</a:t>
          </a:r>
          <a:endParaRPr lang="es-MX" sz="800" kern="1200"/>
        </a:p>
        <a:p>
          <a:pPr marL="0" lvl="0" indent="0" algn="ctr" defTabSz="355600">
            <a:lnSpc>
              <a:spcPct val="90000"/>
            </a:lnSpc>
            <a:spcBef>
              <a:spcPct val="0"/>
            </a:spcBef>
            <a:spcAft>
              <a:spcPct val="35000"/>
            </a:spcAft>
            <a:buNone/>
          </a:pPr>
          <a:endParaRPr lang="es-MX" sz="800" kern="1200"/>
        </a:p>
      </dsp:txBody>
      <dsp:txXfrm>
        <a:off x="4090169" y="905086"/>
        <a:ext cx="981250" cy="2129931"/>
      </dsp:txXfrm>
    </dsp:sp>
    <dsp:sp modelId="{0C61410D-3F2A-4998-B3F9-9B90062A9A79}">
      <dsp:nvSpPr>
        <dsp:cNvPr id="0" name=""/>
        <dsp:cNvSpPr/>
      </dsp:nvSpPr>
      <dsp:spPr>
        <a:xfrm>
          <a:off x="5151414" y="827566"/>
          <a:ext cx="810989" cy="1355261"/>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4EA65AC8-2BE0-4FF4-B23A-AFA0E37E714D}">
      <dsp:nvSpPr>
        <dsp:cNvPr id="0" name=""/>
        <dsp:cNvSpPr/>
      </dsp:nvSpPr>
      <dsp:spPr>
        <a:xfrm>
          <a:off x="5200880" y="874558"/>
          <a:ext cx="810989" cy="1355261"/>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Oficialía Electoral</a:t>
          </a:r>
        </a:p>
        <a:p>
          <a:pPr marL="0" lvl="0" indent="0" algn="ctr" defTabSz="355600">
            <a:lnSpc>
              <a:spcPct val="90000"/>
            </a:lnSpc>
            <a:spcBef>
              <a:spcPct val="0"/>
            </a:spcBef>
            <a:spcAft>
              <a:spcPct val="35000"/>
            </a:spcAft>
            <a:buNone/>
          </a:pPr>
          <a:r>
            <a:rPr lang="es-MX" sz="800" kern="1200"/>
            <a:t>(1) Elía Rubí Vásquez Hernández </a:t>
          </a:r>
        </a:p>
        <a:p>
          <a:pPr marL="0" lvl="0" indent="0" algn="ctr" defTabSz="355600">
            <a:lnSpc>
              <a:spcPct val="90000"/>
            </a:lnSpc>
            <a:spcBef>
              <a:spcPct val="0"/>
            </a:spcBef>
            <a:spcAft>
              <a:spcPct val="35000"/>
            </a:spcAft>
            <a:buNone/>
          </a:pPr>
          <a:r>
            <a:rPr lang="es-MX" sz="800" kern="1200"/>
            <a:t>(Eventual)</a:t>
          </a:r>
        </a:p>
      </dsp:txBody>
      <dsp:txXfrm>
        <a:off x="5224633" y="898311"/>
        <a:ext cx="763483" cy="1307755"/>
      </dsp:txXfrm>
    </dsp:sp>
    <dsp:sp modelId="{572B30EA-7619-4922-9289-C1C22AB6515F}">
      <dsp:nvSpPr>
        <dsp:cNvPr id="0" name=""/>
        <dsp:cNvSpPr/>
      </dsp:nvSpPr>
      <dsp:spPr>
        <a:xfrm>
          <a:off x="5155507" y="2312304"/>
          <a:ext cx="802802" cy="1398265"/>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8DE5067-3ECD-4144-922F-5B80D26FDB83}">
      <dsp:nvSpPr>
        <dsp:cNvPr id="0" name=""/>
        <dsp:cNvSpPr/>
      </dsp:nvSpPr>
      <dsp:spPr>
        <a:xfrm>
          <a:off x="5204973" y="2359297"/>
          <a:ext cx="802802" cy="1398265"/>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Elaboración de actas:</a:t>
          </a:r>
        </a:p>
        <a:p>
          <a:pPr marL="0" lvl="0" indent="0" algn="ctr" defTabSz="355600">
            <a:lnSpc>
              <a:spcPct val="90000"/>
            </a:lnSpc>
            <a:spcBef>
              <a:spcPct val="0"/>
            </a:spcBef>
            <a:spcAft>
              <a:spcPct val="35000"/>
            </a:spcAft>
            <a:buNone/>
          </a:pPr>
          <a:r>
            <a:rPr lang="es-MX" sz="800" kern="1200"/>
            <a:t>(1) Laura María Sánchez Hernández </a:t>
          </a:r>
        </a:p>
        <a:p>
          <a:pPr marL="0" lvl="0" indent="0" algn="ctr" defTabSz="355600">
            <a:lnSpc>
              <a:spcPct val="90000"/>
            </a:lnSpc>
            <a:spcBef>
              <a:spcPct val="0"/>
            </a:spcBef>
            <a:spcAft>
              <a:spcPct val="35000"/>
            </a:spcAft>
            <a:buNone/>
          </a:pPr>
          <a:r>
            <a:rPr lang="es-MX" sz="800" b="0" kern="1200"/>
            <a:t>(Eventual)</a:t>
          </a:r>
          <a:endParaRPr lang="es-MX" sz="800" kern="1200"/>
        </a:p>
        <a:p>
          <a:pPr marL="0" lvl="0" indent="0" algn="ctr" defTabSz="355600">
            <a:lnSpc>
              <a:spcPct val="90000"/>
            </a:lnSpc>
            <a:spcBef>
              <a:spcPct val="0"/>
            </a:spcBef>
            <a:spcAft>
              <a:spcPct val="35000"/>
            </a:spcAft>
            <a:buNone/>
          </a:pPr>
          <a:endParaRPr lang="es-MX" sz="800" kern="1200"/>
        </a:p>
      </dsp:txBody>
      <dsp:txXfrm>
        <a:off x="5228486" y="2382810"/>
        <a:ext cx="755776" cy="1351239"/>
      </dsp:txXfrm>
    </dsp:sp>
    <dsp:sp modelId="{130C78A4-4E97-4732-9530-F2C1CA3A8FAC}">
      <dsp:nvSpPr>
        <dsp:cNvPr id="0" name=""/>
        <dsp:cNvSpPr/>
      </dsp:nvSpPr>
      <dsp:spPr>
        <a:xfrm>
          <a:off x="6061335" y="827566"/>
          <a:ext cx="823401" cy="1303734"/>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5D8860C5-3EB0-4C20-89CE-632A4244D616}">
      <dsp:nvSpPr>
        <dsp:cNvPr id="0" name=""/>
        <dsp:cNvSpPr/>
      </dsp:nvSpPr>
      <dsp:spPr>
        <a:xfrm>
          <a:off x="6110800" y="874558"/>
          <a:ext cx="823401" cy="1303734"/>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Encargada de correspondencia interna y archivo histórico:</a:t>
          </a:r>
        </a:p>
        <a:p>
          <a:pPr marL="0" lvl="0" indent="0" algn="ctr" defTabSz="355600">
            <a:lnSpc>
              <a:spcPct val="90000"/>
            </a:lnSpc>
            <a:spcBef>
              <a:spcPct val="0"/>
            </a:spcBef>
            <a:spcAft>
              <a:spcPct val="35000"/>
            </a:spcAft>
            <a:buNone/>
          </a:pPr>
          <a:r>
            <a:rPr lang="es-MX" sz="800" b="0" kern="1200"/>
            <a:t>(1) Erika José Clemente</a:t>
          </a:r>
        </a:p>
        <a:p>
          <a:pPr marL="0" lvl="0" indent="0" algn="ctr" defTabSz="355600">
            <a:lnSpc>
              <a:spcPct val="90000"/>
            </a:lnSpc>
            <a:spcBef>
              <a:spcPct val="0"/>
            </a:spcBef>
            <a:spcAft>
              <a:spcPct val="35000"/>
            </a:spcAft>
            <a:buNone/>
          </a:pPr>
          <a:r>
            <a:rPr lang="es-MX" sz="800" b="0" kern="1200"/>
            <a:t>(Eventual)</a:t>
          </a:r>
        </a:p>
        <a:p>
          <a:pPr marL="0" lvl="0" indent="0" algn="ctr" defTabSz="355600">
            <a:lnSpc>
              <a:spcPct val="90000"/>
            </a:lnSpc>
            <a:spcBef>
              <a:spcPct val="0"/>
            </a:spcBef>
            <a:spcAft>
              <a:spcPct val="35000"/>
            </a:spcAft>
            <a:buNone/>
          </a:pPr>
          <a:endParaRPr lang="es-MX" sz="800" b="1" kern="1200"/>
        </a:p>
      </dsp:txBody>
      <dsp:txXfrm>
        <a:off x="6134917" y="898675"/>
        <a:ext cx="775167" cy="1255500"/>
      </dsp:txXfrm>
    </dsp:sp>
    <dsp:sp modelId="{6C60ED7D-1E50-4161-A027-038A74ACDAA2}">
      <dsp:nvSpPr>
        <dsp:cNvPr id="0" name=""/>
        <dsp:cNvSpPr/>
      </dsp:nvSpPr>
      <dsp:spPr>
        <a:xfrm>
          <a:off x="6983667" y="827566"/>
          <a:ext cx="1366740" cy="2232038"/>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84436D86-835E-479E-9440-3707F340E609}">
      <dsp:nvSpPr>
        <dsp:cNvPr id="0" name=""/>
        <dsp:cNvSpPr/>
      </dsp:nvSpPr>
      <dsp:spPr>
        <a:xfrm>
          <a:off x="7033133" y="874558"/>
          <a:ext cx="1366740" cy="2232038"/>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es-MX" sz="800" b="1" kern="1200"/>
            <a:t>Coordinador del área de procedimientos por infracciones en materia de vulneración a la normativa electoral, procedimientos ordinarios sancionadores y asuntos jurídicos en la Unidad Técnica.</a:t>
          </a:r>
        </a:p>
        <a:p>
          <a:pPr marL="0" lvl="0" indent="0" algn="ctr" defTabSz="355600">
            <a:lnSpc>
              <a:spcPct val="90000"/>
            </a:lnSpc>
            <a:spcBef>
              <a:spcPct val="0"/>
            </a:spcBef>
            <a:spcAft>
              <a:spcPct val="35000"/>
            </a:spcAft>
            <a:buNone/>
          </a:pPr>
          <a:r>
            <a:rPr lang="es-MX" sz="800" kern="1200"/>
            <a:t>Erik Samir Pérez Rojas</a:t>
          </a:r>
        </a:p>
        <a:p>
          <a:pPr marL="0" lvl="0" indent="0" algn="ctr" defTabSz="355600">
            <a:lnSpc>
              <a:spcPct val="90000"/>
            </a:lnSpc>
            <a:spcBef>
              <a:spcPct val="0"/>
            </a:spcBef>
            <a:spcAft>
              <a:spcPct val="35000"/>
            </a:spcAft>
            <a:buNone/>
          </a:pPr>
          <a:r>
            <a:rPr lang="es-MX" sz="800" kern="1200"/>
            <a:t>(Estructura)</a:t>
          </a:r>
        </a:p>
      </dsp:txBody>
      <dsp:txXfrm>
        <a:off x="7073163" y="914588"/>
        <a:ext cx="1286680" cy="2151978"/>
      </dsp:txXfrm>
    </dsp:sp>
    <dsp:sp modelId="{BE72DD7B-138C-4D3A-A1D1-4913CDA1C455}">
      <dsp:nvSpPr>
        <dsp:cNvPr id="0" name=""/>
        <dsp:cNvSpPr/>
      </dsp:nvSpPr>
      <dsp:spPr>
        <a:xfrm>
          <a:off x="6889794" y="3189081"/>
          <a:ext cx="1554487" cy="2418508"/>
        </a:xfrm>
        <a:prstGeom prst="roundRect">
          <a:avLst>
            <a:gd name="adj" fmla="val 10000"/>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sp>
    <dsp:sp modelId="{9F58779F-2164-4F12-ACCB-DD9D3DE2199D}">
      <dsp:nvSpPr>
        <dsp:cNvPr id="0" name=""/>
        <dsp:cNvSpPr/>
      </dsp:nvSpPr>
      <dsp:spPr>
        <a:xfrm>
          <a:off x="6939260" y="3236073"/>
          <a:ext cx="1554487" cy="2418508"/>
        </a:xfrm>
        <a:prstGeom prst="roundRect">
          <a:avLst>
            <a:gd name="adj" fmla="val 10000"/>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ctr" anchorCtr="0">
          <a:noAutofit/>
        </a:bodyPr>
        <a:lstStyle/>
        <a:p>
          <a:pPr marL="0" lvl="0" indent="0" algn="just" defTabSz="355600">
            <a:lnSpc>
              <a:spcPct val="90000"/>
            </a:lnSpc>
            <a:spcBef>
              <a:spcPct val="0"/>
            </a:spcBef>
            <a:spcAft>
              <a:spcPct val="35000"/>
            </a:spcAft>
            <a:buNone/>
          </a:pPr>
          <a:r>
            <a:rPr lang="es-MX" sz="800" b="1" kern="1200"/>
            <a:t>Proyectistas de Procedimientos y Atención de Asuntos Jurídicos (obligaciones de transparencia por incumplimiento de los partidos políticos):</a:t>
          </a:r>
        </a:p>
        <a:p>
          <a:pPr marL="0" lvl="0" indent="0" algn="ctr" defTabSz="355600">
            <a:lnSpc>
              <a:spcPct val="90000"/>
            </a:lnSpc>
            <a:spcBef>
              <a:spcPct val="0"/>
            </a:spcBef>
            <a:spcAft>
              <a:spcPct val="35000"/>
            </a:spcAft>
            <a:buNone/>
          </a:pPr>
          <a:r>
            <a:rPr lang="es-MX" sz="800" kern="1200"/>
            <a:t>(1) Ximena Delfina Jiménez López-Eventual</a:t>
          </a:r>
        </a:p>
        <a:p>
          <a:pPr marL="0" lvl="0" indent="0" algn="ctr" defTabSz="355600">
            <a:lnSpc>
              <a:spcPct val="90000"/>
            </a:lnSpc>
            <a:spcBef>
              <a:spcPct val="0"/>
            </a:spcBef>
            <a:spcAft>
              <a:spcPct val="35000"/>
            </a:spcAft>
            <a:buNone/>
          </a:pPr>
          <a:r>
            <a:rPr lang="es-MX" sz="800" kern="1200"/>
            <a:t>(2) Julio Cesar Jiménez Sebastián -Eventual</a:t>
          </a:r>
          <a:endParaRPr lang="es-MX" sz="800" b="1" kern="1200"/>
        </a:p>
        <a:p>
          <a:pPr marL="0" lvl="0" indent="0" algn="ctr" defTabSz="355600">
            <a:lnSpc>
              <a:spcPct val="90000"/>
            </a:lnSpc>
            <a:spcBef>
              <a:spcPct val="0"/>
            </a:spcBef>
            <a:spcAft>
              <a:spcPct val="35000"/>
            </a:spcAft>
            <a:buNone/>
          </a:pPr>
          <a:r>
            <a:rPr lang="es-MX" sz="800" kern="1200"/>
            <a:t>(3) Eventual (Vacante)</a:t>
          </a:r>
        </a:p>
        <a:p>
          <a:pPr marL="0" lvl="0" indent="0" algn="ctr" defTabSz="355600">
            <a:lnSpc>
              <a:spcPct val="90000"/>
            </a:lnSpc>
            <a:spcBef>
              <a:spcPct val="0"/>
            </a:spcBef>
            <a:spcAft>
              <a:spcPct val="35000"/>
            </a:spcAft>
            <a:buNone/>
          </a:pPr>
          <a:r>
            <a:rPr lang="es-MX" sz="800" kern="1200"/>
            <a:t>(4) Eventual (Vacante)</a:t>
          </a:r>
        </a:p>
      </dsp:txBody>
      <dsp:txXfrm>
        <a:off x="6984789" y="3281602"/>
        <a:ext cx="1463429" cy="232745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7741</Words>
  <Characters>42577</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 mendoza</dc:creator>
  <cp:lastModifiedBy>Nereyda Cruz</cp:lastModifiedBy>
  <cp:revision>2</cp:revision>
  <cp:lastPrinted>2025-08-26T18:24:00Z</cp:lastPrinted>
  <dcterms:created xsi:type="dcterms:W3CDTF">2025-10-28T18:41:00Z</dcterms:created>
  <dcterms:modified xsi:type="dcterms:W3CDTF">2025-10-28T18:41:00Z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2058-12.2.0.21931</vt:lpwstr>
  </property>
  <property fmtid="{D5CDD505-2E9C-101B-9397-08002B2CF9AE}" pid="3" name="ICV">
    <vt:lpwstr>0948CD9DA0234F52863AD988B2115472_13</vt:lpwstr>
  </property>
</Properties>
</file>